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4E" w:rsidRDefault="00410CBC" w:rsidP="00410CBC">
      <w:pPr>
        <w:spacing w:before="120" w:after="120"/>
        <w:ind w:right="332"/>
        <w:jc w:val="both"/>
        <w:rPr>
          <w:rFonts w:asciiTheme="minorHAnsi" w:hAnsiTheme="minorHAnsi" w:cstheme="minorHAnsi"/>
          <w:b/>
          <w:sz w:val="28"/>
          <w:szCs w:val="24"/>
          <w:lang w:val="es-ES"/>
        </w:rPr>
      </w:pPr>
      <w:r>
        <w:rPr>
          <w:rFonts w:asciiTheme="minorHAnsi" w:hAnsiTheme="minorHAnsi" w:cstheme="minorHAnsi"/>
          <w:b/>
          <w:sz w:val="28"/>
          <w:szCs w:val="24"/>
          <w:lang w:val="es-ES"/>
        </w:rPr>
        <w:t xml:space="preserve">DIRECTRICES DE COORDINACIÓN RESULTANTES DE ACUERDO </w:t>
      </w:r>
      <w:bookmarkStart w:id="0" w:name="_GoBack"/>
      <w:bookmarkEnd w:id="0"/>
      <w:r>
        <w:rPr>
          <w:rFonts w:asciiTheme="minorHAnsi" w:hAnsiTheme="minorHAnsi" w:cstheme="minorHAnsi"/>
          <w:b/>
          <w:sz w:val="28"/>
          <w:szCs w:val="24"/>
          <w:lang w:val="es-ES"/>
        </w:rPr>
        <w:t>ENTRE</w:t>
      </w:r>
      <w:r w:rsidR="0037294E">
        <w:rPr>
          <w:rFonts w:asciiTheme="minorHAnsi" w:hAnsiTheme="minorHAnsi" w:cstheme="minorHAnsi"/>
          <w:b/>
          <w:sz w:val="28"/>
          <w:szCs w:val="24"/>
          <w:lang w:val="es-ES"/>
        </w:rPr>
        <w:t xml:space="preserve"> FISCALÍA ESPECIAL DELEGADA DE VIOLENCIA SOBRE LA MUJER</w:t>
      </w:r>
      <w:r>
        <w:rPr>
          <w:rFonts w:asciiTheme="minorHAnsi" w:hAnsiTheme="minorHAnsi" w:cstheme="minorHAnsi"/>
          <w:b/>
          <w:sz w:val="28"/>
          <w:szCs w:val="24"/>
          <w:lang w:val="es-ES"/>
        </w:rPr>
        <w:t xml:space="preserve"> EN MATERIA VIOLENCIA DE GÉNERO Y AREA DE VIOLENCIA DE GÉNERO ESTUDIOS Y FORMACION DEL GABINETE DE COORDINACIÓN Y ESTUDIOS – SES.</w:t>
      </w:r>
    </w:p>
    <w:p w:rsidR="0037294E" w:rsidRDefault="0037294E" w:rsidP="0037294E">
      <w:pPr>
        <w:spacing w:before="120" w:after="120"/>
        <w:ind w:left="142" w:right="332"/>
        <w:jc w:val="center"/>
        <w:rPr>
          <w:rFonts w:asciiTheme="minorHAnsi" w:hAnsiTheme="minorHAnsi" w:cstheme="minorHAnsi"/>
          <w:b/>
          <w:sz w:val="28"/>
          <w:szCs w:val="24"/>
          <w:lang w:val="es-ES"/>
        </w:rPr>
      </w:pPr>
    </w:p>
    <w:p w:rsidR="0037294E" w:rsidRDefault="00410CBC" w:rsidP="0037294E">
      <w:pPr>
        <w:spacing w:before="120" w:after="120"/>
        <w:ind w:left="142" w:right="332"/>
        <w:jc w:val="both"/>
        <w:rPr>
          <w:rFonts w:asciiTheme="minorHAnsi" w:hAnsiTheme="minorHAnsi" w:cstheme="minorHAnsi"/>
          <w:sz w:val="28"/>
          <w:szCs w:val="24"/>
          <w:lang w:val="es-ES"/>
        </w:rPr>
      </w:pPr>
      <w:r>
        <w:rPr>
          <w:rFonts w:asciiTheme="minorHAnsi" w:hAnsiTheme="minorHAnsi" w:cstheme="minorHAnsi"/>
          <w:sz w:val="28"/>
          <w:szCs w:val="24"/>
          <w:lang w:val="es-ES"/>
        </w:rPr>
        <w:t>A</w:t>
      </w:r>
      <w:r w:rsidR="0037294E">
        <w:rPr>
          <w:rFonts w:asciiTheme="minorHAnsi" w:hAnsiTheme="minorHAnsi" w:cstheme="minorHAnsi"/>
          <w:sz w:val="28"/>
          <w:szCs w:val="24"/>
          <w:lang w:val="es-ES"/>
        </w:rPr>
        <w:t xml:space="preserve"> instancia de la Fiscal de Sala Delegada de violencia sobre la mujer, Doña María del Pilar MARTÍN NÁJERA, responsables del Área de violencia de género, Estudios y Formación del Gabinete de Coordinación y Estudios – Secretaría de Estado de Segu</w:t>
      </w:r>
      <w:r>
        <w:rPr>
          <w:rFonts w:asciiTheme="minorHAnsi" w:hAnsiTheme="minorHAnsi" w:cstheme="minorHAnsi"/>
          <w:sz w:val="28"/>
          <w:szCs w:val="24"/>
          <w:lang w:val="es-ES"/>
        </w:rPr>
        <w:t>ridad – MIR, mantuvieron reuniones</w:t>
      </w:r>
      <w:r w:rsidR="0037294E">
        <w:rPr>
          <w:rFonts w:asciiTheme="minorHAnsi" w:hAnsiTheme="minorHAnsi" w:cstheme="minorHAnsi"/>
          <w:sz w:val="28"/>
          <w:szCs w:val="24"/>
          <w:lang w:val="es-ES"/>
        </w:rPr>
        <w:t xml:space="preserve"> de coordinación en sede de Fiscalía General del Estado, a la que por parte de la Fiscalía asistieron: la propia Fiscal de Sala Delegada así como las dos Fiscales Adjuntas a la misma.</w:t>
      </w:r>
    </w:p>
    <w:p w:rsidR="0037294E" w:rsidRDefault="00410CBC" w:rsidP="0037294E">
      <w:pPr>
        <w:spacing w:before="120" w:after="120"/>
        <w:ind w:left="142" w:right="332"/>
        <w:jc w:val="both"/>
        <w:rPr>
          <w:rFonts w:asciiTheme="minorHAnsi" w:hAnsiTheme="minorHAnsi" w:cstheme="minorHAnsi"/>
          <w:sz w:val="28"/>
          <w:szCs w:val="24"/>
          <w:lang w:val="es-ES"/>
        </w:rPr>
      </w:pPr>
      <w:r>
        <w:rPr>
          <w:rFonts w:asciiTheme="minorHAnsi" w:hAnsiTheme="minorHAnsi" w:cstheme="minorHAnsi"/>
          <w:sz w:val="28"/>
          <w:szCs w:val="24"/>
          <w:lang w:val="es-ES"/>
        </w:rPr>
        <w:t>Se</w:t>
      </w:r>
      <w:r w:rsidR="0037294E">
        <w:rPr>
          <w:rFonts w:asciiTheme="minorHAnsi" w:hAnsiTheme="minorHAnsi" w:cstheme="minorHAnsi"/>
          <w:sz w:val="28"/>
          <w:szCs w:val="24"/>
          <w:lang w:val="es-ES"/>
        </w:rPr>
        <w:t xml:space="preserve"> abordaron distintos asuntos de procedimiento y mejor coordinación entre FFCCS y Fiscalía a nivel nacional, en el ámbito de violencia de género, acordándose lo siguiente:</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Pr="001B462D" w:rsidRDefault="0037294E" w:rsidP="0037294E">
      <w:pPr>
        <w:spacing w:before="120" w:after="120"/>
        <w:ind w:left="142" w:right="332"/>
        <w:jc w:val="center"/>
        <w:rPr>
          <w:rFonts w:asciiTheme="minorHAnsi" w:hAnsiTheme="minorHAnsi" w:cstheme="minorHAnsi"/>
          <w:b/>
          <w:color w:val="C0504D" w:themeColor="accent2"/>
          <w:sz w:val="28"/>
          <w:szCs w:val="24"/>
          <w:lang w:val="es-ES"/>
        </w:rPr>
      </w:pPr>
      <w:r w:rsidRPr="001B462D">
        <w:rPr>
          <w:rFonts w:asciiTheme="minorHAnsi" w:hAnsiTheme="minorHAnsi" w:cstheme="minorHAnsi"/>
          <w:b/>
          <w:color w:val="C0504D" w:themeColor="accent2"/>
          <w:sz w:val="28"/>
          <w:szCs w:val="24"/>
          <w:lang w:val="es-ES"/>
        </w:rPr>
        <w:t>DISPOSITIVOS TELEMÁTICOS DE CONTROL DE AGRESORES</w:t>
      </w:r>
      <w:r>
        <w:rPr>
          <w:rFonts w:asciiTheme="minorHAnsi" w:hAnsiTheme="minorHAnsi" w:cstheme="minorHAnsi"/>
          <w:b/>
          <w:color w:val="C0504D" w:themeColor="accent2"/>
          <w:sz w:val="28"/>
          <w:szCs w:val="24"/>
          <w:lang w:val="es-ES"/>
        </w:rPr>
        <w:t xml:space="preserve"> (DTC)</w:t>
      </w:r>
      <w:r w:rsidRPr="001B462D">
        <w:rPr>
          <w:rFonts w:asciiTheme="minorHAnsi" w:hAnsiTheme="minorHAnsi" w:cstheme="minorHAnsi"/>
          <w:b/>
          <w:color w:val="C0504D" w:themeColor="accent2"/>
          <w:sz w:val="28"/>
          <w:szCs w:val="24"/>
          <w:lang w:val="es-ES"/>
        </w:rPr>
        <w:t xml:space="preserve"> – PULSERAS COMETA.</w:t>
      </w:r>
    </w:p>
    <w:p w:rsidR="0037294E" w:rsidRDefault="0037294E" w:rsidP="0037294E">
      <w:pPr>
        <w:spacing w:before="120" w:after="120"/>
        <w:ind w:left="142" w:right="332"/>
        <w:jc w:val="both"/>
        <w:rPr>
          <w:rFonts w:asciiTheme="minorHAnsi" w:hAnsiTheme="minorHAnsi" w:cstheme="minorHAnsi"/>
          <w:b/>
          <w:sz w:val="28"/>
          <w:szCs w:val="24"/>
          <w:lang w:val="es-ES"/>
        </w:rPr>
      </w:pPr>
    </w:p>
    <w:p w:rsidR="0037294E" w:rsidRDefault="0037294E" w:rsidP="0037294E">
      <w:pPr>
        <w:spacing w:before="120" w:after="120"/>
        <w:ind w:left="142"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Existe unidad de criterio por ambas partes en orden a considerar los </w:t>
      </w:r>
      <w:r w:rsidRPr="00DE45F4">
        <w:rPr>
          <w:rFonts w:asciiTheme="minorHAnsi" w:hAnsiTheme="minorHAnsi" w:cstheme="minorHAnsi"/>
          <w:b/>
          <w:sz w:val="28"/>
          <w:szCs w:val="24"/>
          <w:lang w:val="es-ES"/>
        </w:rPr>
        <w:t>DTC una herramienta eficaz en la protección de víctimas VdG</w:t>
      </w:r>
      <w:r>
        <w:rPr>
          <w:rFonts w:asciiTheme="minorHAnsi" w:hAnsiTheme="minorHAnsi" w:cstheme="minorHAnsi"/>
          <w:sz w:val="28"/>
          <w:szCs w:val="24"/>
          <w:lang w:val="es-ES"/>
        </w:rPr>
        <w:t>, que reduce significativamente el riesgo de reincidencia y/o quebrantamientos.</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Default="0037294E" w:rsidP="0037294E">
      <w:pPr>
        <w:spacing w:before="120" w:after="120"/>
        <w:ind w:left="142" w:right="332"/>
        <w:jc w:val="both"/>
        <w:rPr>
          <w:rFonts w:asciiTheme="minorHAnsi" w:hAnsiTheme="minorHAnsi" w:cstheme="minorHAnsi"/>
          <w:sz w:val="28"/>
          <w:szCs w:val="24"/>
          <w:lang w:val="es-ES"/>
        </w:rPr>
      </w:pPr>
      <w:r>
        <w:rPr>
          <w:rFonts w:asciiTheme="minorHAnsi" w:hAnsiTheme="minorHAnsi" w:cstheme="minorHAnsi"/>
          <w:sz w:val="28"/>
          <w:szCs w:val="24"/>
          <w:lang w:val="es-ES"/>
        </w:rPr>
        <w:t>En todo caso la decisión final respecto a la adjudicación del dispositivo como Medida cautelar, asociada a una Orden de Protección, corresponde a la Autoridad judicial, a instancias de Fiscalía previa valoración de idoneidad bien a iniciativa propia, bien a solicitud de FFCCS.</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Default="0037294E" w:rsidP="0037294E">
      <w:pPr>
        <w:widowControl/>
        <w:rPr>
          <w:rFonts w:asciiTheme="minorHAnsi" w:hAnsiTheme="minorHAnsi" w:cstheme="minorHAnsi"/>
          <w:b/>
          <w:sz w:val="28"/>
          <w:szCs w:val="24"/>
          <w:lang w:val="es-ES"/>
        </w:rPr>
      </w:pPr>
      <w:r>
        <w:rPr>
          <w:rFonts w:asciiTheme="minorHAnsi" w:hAnsiTheme="minorHAnsi" w:cstheme="minorHAnsi"/>
          <w:b/>
          <w:sz w:val="28"/>
          <w:szCs w:val="24"/>
          <w:lang w:val="es-ES"/>
        </w:rPr>
        <w:br w:type="page"/>
      </w:r>
    </w:p>
    <w:p w:rsidR="00ED7CD1" w:rsidRDefault="00ED7CD1" w:rsidP="0037294E">
      <w:pPr>
        <w:spacing w:before="120" w:after="120"/>
        <w:ind w:left="142" w:right="332"/>
        <w:jc w:val="both"/>
        <w:rPr>
          <w:rFonts w:asciiTheme="minorHAnsi" w:hAnsiTheme="minorHAnsi" w:cstheme="minorHAnsi"/>
          <w:b/>
          <w:sz w:val="28"/>
          <w:szCs w:val="24"/>
          <w:lang w:val="es-ES"/>
        </w:rPr>
      </w:pPr>
    </w:p>
    <w:p w:rsidR="0037294E" w:rsidRPr="00820670" w:rsidRDefault="0037294E" w:rsidP="0037294E">
      <w:pPr>
        <w:spacing w:before="120" w:after="120"/>
        <w:ind w:left="142" w:right="332"/>
        <w:jc w:val="both"/>
        <w:rPr>
          <w:rFonts w:asciiTheme="minorHAnsi" w:hAnsiTheme="minorHAnsi" w:cstheme="minorHAnsi"/>
          <w:sz w:val="28"/>
          <w:szCs w:val="24"/>
          <w:lang w:val="es-ES"/>
        </w:rPr>
      </w:pPr>
      <w:r w:rsidRPr="00DE45F4">
        <w:rPr>
          <w:rFonts w:asciiTheme="minorHAnsi" w:hAnsiTheme="minorHAnsi" w:cstheme="minorHAnsi"/>
          <w:b/>
          <w:sz w:val="28"/>
          <w:szCs w:val="24"/>
          <w:lang w:val="es-ES"/>
        </w:rPr>
        <w:t>Es una realidad que los DTC, son recursos limitados en número y disponibilidad</w:t>
      </w:r>
      <w:r>
        <w:rPr>
          <w:rFonts w:asciiTheme="minorHAnsi" w:hAnsiTheme="minorHAnsi" w:cstheme="minorHAnsi"/>
          <w:sz w:val="28"/>
          <w:szCs w:val="24"/>
          <w:lang w:val="es-ES"/>
        </w:rPr>
        <w:t xml:space="preserve">. Esta limitación ha de conjugarse con lo establecido en la Instrucción SES 4/2019 de fecha 13 de Marzo, de obligado cumplimiento para FFCCS, conforme a la que se aprueba el nuevo </w:t>
      </w:r>
      <w:r>
        <w:rPr>
          <w:rFonts w:asciiTheme="minorHAnsi" w:hAnsiTheme="minorHAnsi" w:cstheme="minorHAnsi"/>
          <w:i/>
          <w:sz w:val="28"/>
          <w:szCs w:val="24"/>
          <w:lang w:val="es-ES"/>
        </w:rPr>
        <w:t>Protocolo de valoración policial del riesgo de violencia de género (LO 1/2004), gestión de la seguridad de las víctimas y seguimiento de los Casos VdG a través del Sistema VioGén</w:t>
      </w:r>
      <w:r>
        <w:rPr>
          <w:rFonts w:asciiTheme="minorHAnsi" w:hAnsiTheme="minorHAnsi" w:cstheme="minorHAnsi"/>
          <w:sz w:val="28"/>
          <w:szCs w:val="24"/>
          <w:lang w:val="es-ES"/>
        </w:rPr>
        <w:t xml:space="preserve">, y por el que se </w:t>
      </w:r>
      <w:r w:rsidRPr="00DE45F4">
        <w:rPr>
          <w:rFonts w:asciiTheme="minorHAnsi" w:hAnsiTheme="minorHAnsi" w:cstheme="minorHAnsi"/>
          <w:b/>
          <w:sz w:val="28"/>
          <w:szCs w:val="24"/>
          <w:lang w:val="es-ES"/>
        </w:rPr>
        <w:t>establece, como Medida de Protección obligatoria, la solicitud a Fiscalía de adjudicación de DTC para Casos a partir de riesgo MEDIO, incluyendo este nivel.</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Default="0037294E" w:rsidP="0037294E">
      <w:pPr>
        <w:spacing w:before="120" w:after="120"/>
        <w:ind w:left="142"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Con la finalidad de que FFCCS de cumplimiento a la normativa que le vincula (Instrucción 4/2019) así como de coordinar y aunar criterios de eficacia y eficiencia entre Fiscalía y FFCCS en el ámbito de solicitud de DTCs, </w:t>
      </w:r>
      <w:r w:rsidRPr="00ED7CD1">
        <w:rPr>
          <w:rFonts w:asciiTheme="minorHAnsi" w:hAnsiTheme="minorHAnsi" w:cstheme="minorHAnsi"/>
          <w:b/>
          <w:sz w:val="28"/>
          <w:szCs w:val="24"/>
          <w:u w:val="single"/>
          <w:lang w:val="es-ES"/>
        </w:rPr>
        <w:t>se acuerda en la reunión mantenida</w:t>
      </w:r>
      <w:r>
        <w:rPr>
          <w:rFonts w:asciiTheme="minorHAnsi" w:hAnsiTheme="minorHAnsi" w:cstheme="minorHAnsi"/>
          <w:sz w:val="28"/>
          <w:szCs w:val="24"/>
          <w:lang w:val="es-ES"/>
        </w:rPr>
        <w:t>:</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Pr="00DE45F4" w:rsidRDefault="0037294E" w:rsidP="0037294E">
      <w:pPr>
        <w:pStyle w:val="Prrafodelista"/>
        <w:numPr>
          <w:ilvl w:val="0"/>
          <w:numId w:val="2"/>
        </w:numPr>
        <w:spacing w:before="120" w:after="120"/>
        <w:ind w:right="332"/>
        <w:jc w:val="both"/>
        <w:rPr>
          <w:rFonts w:asciiTheme="minorHAnsi" w:hAnsiTheme="minorHAnsi" w:cstheme="minorHAnsi"/>
          <w:b/>
          <w:sz w:val="28"/>
          <w:szCs w:val="24"/>
          <w:lang w:val="es-ES"/>
        </w:rPr>
      </w:pPr>
      <w:r w:rsidRPr="00DE45F4">
        <w:rPr>
          <w:rFonts w:asciiTheme="minorHAnsi" w:hAnsiTheme="minorHAnsi" w:cstheme="minorHAnsi"/>
          <w:b/>
          <w:sz w:val="28"/>
          <w:szCs w:val="24"/>
          <w:lang w:val="es-ES"/>
        </w:rPr>
        <w:t>FFCCS solicitará</w:t>
      </w:r>
      <w:r>
        <w:rPr>
          <w:rFonts w:asciiTheme="minorHAnsi" w:hAnsiTheme="minorHAnsi" w:cstheme="minorHAnsi"/>
          <w:b/>
          <w:sz w:val="28"/>
          <w:szCs w:val="24"/>
          <w:lang w:val="es-ES"/>
        </w:rPr>
        <w:t>n</w:t>
      </w:r>
      <w:r w:rsidRPr="00DE45F4">
        <w:rPr>
          <w:rFonts w:asciiTheme="minorHAnsi" w:hAnsiTheme="minorHAnsi" w:cstheme="minorHAnsi"/>
          <w:b/>
          <w:sz w:val="28"/>
          <w:szCs w:val="24"/>
          <w:lang w:val="es-ES"/>
        </w:rPr>
        <w:t xml:space="preserve"> a Fiscalía que valore la idoneidad de instar a la autoridad judicial la adjudicación de un DCT en los Casos VdG:</w:t>
      </w:r>
    </w:p>
    <w:p w:rsidR="0037294E" w:rsidRDefault="0037294E" w:rsidP="0037294E">
      <w:pPr>
        <w:spacing w:before="120" w:after="120"/>
        <w:ind w:right="332"/>
        <w:jc w:val="both"/>
        <w:rPr>
          <w:rFonts w:asciiTheme="minorHAnsi" w:hAnsiTheme="minorHAnsi" w:cstheme="minorHAnsi"/>
          <w:sz w:val="28"/>
          <w:szCs w:val="24"/>
          <w:lang w:val="es-ES"/>
        </w:rPr>
      </w:pPr>
    </w:p>
    <w:p w:rsidR="0037294E"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C</w:t>
      </w:r>
      <w:r w:rsidRPr="00BD69DE">
        <w:rPr>
          <w:rFonts w:asciiTheme="minorHAnsi" w:hAnsiTheme="minorHAnsi" w:cstheme="minorHAnsi"/>
          <w:sz w:val="28"/>
          <w:szCs w:val="24"/>
          <w:lang w:val="es-ES"/>
        </w:rPr>
        <w:t xml:space="preserve">on niveles de </w:t>
      </w:r>
      <w:r w:rsidRPr="00DE45F4">
        <w:rPr>
          <w:rFonts w:asciiTheme="minorHAnsi" w:hAnsiTheme="minorHAnsi" w:cstheme="minorHAnsi"/>
          <w:b/>
          <w:sz w:val="28"/>
          <w:szCs w:val="24"/>
          <w:lang w:val="es-ES"/>
        </w:rPr>
        <w:t>riesgo MEDIO</w:t>
      </w:r>
      <w:r>
        <w:rPr>
          <w:rFonts w:asciiTheme="minorHAnsi" w:hAnsiTheme="minorHAnsi" w:cstheme="minorHAnsi"/>
          <w:sz w:val="28"/>
          <w:szCs w:val="24"/>
          <w:lang w:val="es-ES"/>
        </w:rPr>
        <w:t>. E</w:t>
      </w:r>
      <w:r w:rsidRPr="00BD69DE">
        <w:rPr>
          <w:rFonts w:asciiTheme="minorHAnsi" w:hAnsiTheme="minorHAnsi" w:cstheme="minorHAnsi"/>
          <w:sz w:val="28"/>
          <w:szCs w:val="24"/>
          <w:lang w:val="es-ES"/>
        </w:rPr>
        <w:t xml:space="preserve">n este nivel </w:t>
      </w:r>
      <w:r w:rsidR="009B3B33" w:rsidRPr="00FD1352">
        <w:rPr>
          <w:rFonts w:asciiTheme="minorHAnsi" w:hAnsiTheme="minorHAnsi" w:cstheme="minorHAnsi"/>
          <w:b/>
          <w:color w:val="C0504D" w:themeColor="accent2"/>
          <w:sz w:val="28"/>
          <w:szCs w:val="24"/>
          <w:lang w:val="es-ES"/>
        </w:rPr>
        <w:t>SÓLO</w:t>
      </w:r>
      <w:r w:rsidRPr="00FD1352">
        <w:rPr>
          <w:rFonts w:asciiTheme="minorHAnsi" w:hAnsiTheme="minorHAnsi" w:cstheme="minorHAnsi"/>
          <w:b/>
          <w:color w:val="C0504D" w:themeColor="accent2"/>
          <w:sz w:val="28"/>
          <w:szCs w:val="24"/>
          <w:lang w:val="es-ES"/>
        </w:rPr>
        <w:t xml:space="preserve"> aquellos Casos que incorporen  </w:t>
      </w:r>
      <w:r w:rsidRPr="00FD1352">
        <w:rPr>
          <w:rFonts w:asciiTheme="minorHAnsi" w:hAnsiTheme="minorHAnsi" w:cstheme="minorHAnsi"/>
          <w:i/>
          <w:color w:val="C0504D" w:themeColor="accent2"/>
          <w:sz w:val="28"/>
          <w:szCs w:val="24"/>
          <w:u w:val="single"/>
          <w:lang w:val="es-ES"/>
        </w:rPr>
        <w:t>Diligencia de Especial Relevancia</w:t>
      </w:r>
      <w:r w:rsidRPr="00FD1352">
        <w:rPr>
          <w:rFonts w:asciiTheme="minorHAnsi" w:hAnsiTheme="minorHAnsi" w:cstheme="minorHAnsi"/>
          <w:b/>
          <w:color w:val="C0504D" w:themeColor="accent2"/>
          <w:sz w:val="28"/>
          <w:szCs w:val="24"/>
          <w:lang w:val="es-ES"/>
        </w:rPr>
        <w:t>.</w:t>
      </w:r>
      <w:r w:rsidRPr="00FD1352">
        <w:rPr>
          <w:rFonts w:asciiTheme="minorHAnsi" w:hAnsiTheme="minorHAnsi" w:cstheme="minorHAnsi"/>
          <w:b/>
          <w:sz w:val="28"/>
          <w:szCs w:val="24"/>
          <w:lang w:val="es-ES"/>
        </w:rPr>
        <w:t>NO en el resto de Casos en nivel de riesgo MEDIO</w:t>
      </w:r>
      <w:r w:rsidRPr="00FD1352">
        <w:rPr>
          <w:rFonts w:asciiTheme="minorHAnsi" w:hAnsiTheme="minorHAnsi" w:cstheme="minorHAnsi"/>
          <w:i/>
          <w:sz w:val="28"/>
          <w:szCs w:val="24"/>
          <w:u w:val="single"/>
          <w:lang w:val="es-ES"/>
        </w:rPr>
        <w:t>sin Diligencia de especial relevancia</w:t>
      </w:r>
      <w:r w:rsidRPr="00FD1352">
        <w:rPr>
          <w:rFonts w:asciiTheme="minorHAnsi" w:hAnsiTheme="minorHAnsi" w:cstheme="minorHAnsi"/>
          <w:sz w:val="28"/>
          <w:szCs w:val="24"/>
          <w:lang w:val="es-ES"/>
        </w:rPr>
        <w:t>.</w:t>
      </w:r>
    </w:p>
    <w:p w:rsidR="0037294E"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Con niveles de </w:t>
      </w:r>
      <w:r w:rsidRPr="00DE45F4">
        <w:rPr>
          <w:rFonts w:asciiTheme="minorHAnsi" w:hAnsiTheme="minorHAnsi" w:cstheme="minorHAnsi"/>
          <w:b/>
          <w:sz w:val="28"/>
          <w:szCs w:val="24"/>
          <w:lang w:val="es-ES"/>
        </w:rPr>
        <w:t>riesgo ALTO</w:t>
      </w:r>
      <w:r>
        <w:rPr>
          <w:rFonts w:asciiTheme="minorHAnsi" w:hAnsiTheme="minorHAnsi" w:cstheme="minorHAnsi"/>
          <w:sz w:val="28"/>
          <w:szCs w:val="24"/>
          <w:lang w:val="es-ES"/>
        </w:rPr>
        <w:t>. TODOS.</w:t>
      </w:r>
    </w:p>
    <w:p w:rsidR="0037294E" w:rsidRPr="00BD69DE"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Con niveles de riesgo </w:t>
      </w:r>
      <w:r w:rsidRPr="00DE45F4">
        <w:rPr>
          <w:rFonts w:asciiTheme="minorHAnsi" w:hAnsiTheme="minorHAnsi" w:cstheme="minorHAnsi"/>
          <w:b/>
          <w:sz w:val="28"/>
          <w:szCs w:val="24"/>
          <w:lang w:val="es-ES"/>
        </w:rPr>
        <w:t>EXTREMO</w:t>
      </w:r>
      <w:r>
        <w:rPr>
          <w:rFonts w:asciiTheme="minorHAnsi" w:hAnsiTheme="minorHAnsi" w:cstheme="minorHAnsi"/>
          <w:sz w:val="28"/>
          <w:szCs w:val="24"/>
          <w:lang w:val="es-ES"/>
        </w:rPr>
        <w:t>. TODOS.</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Pr="00DE45F4" w:rsidRDefault="0037294E" w:rsidP="0037294E">
      <w:pPr>
        <w:pStyle w:val="Prrafodelista"/>
        <w:numPr>
          <w:ilvl w:val="0"/>
          <w:numId w:val="2"/>
        </w:numPr>
        <w:spacing w:before="120" w:after="120"/>
        <w:ind w:right="332"/>
        <w:jc w:val="both"/>
        <w:rPr>
          <w:rFonts w:asciiTheme="minorHAnsi" w:hAnsiTheme="minorHAnsi" w:cstheme="minorHAnsi"/>
          <w:b/>
          <w:sz w:val="28"/>
          <w:szCs w:val="24"/>
          <w:lang w:val="es-ES"/>
        </w:rPr>
      </w:pPr>
      <w:r w:rsidRPr="00DE45F4">
        <w:rPr>
          <w:rFonts w:asciiTheme="minorHAnsi" w:hAnsiTheme="minorHAnsi" w:cstheme="minorHAnsi"/>
          <w:b/>
          <w:sz w:val="28"/>
          <w:szCs w:val="24"/>
          <w:lang w:val="es-ES"/>
        </w:rPr>
        <w:t>Dicha solicitud se</w:t>
      </w:r>
      <w:r w:rsidR="009B3B33">
        <w:rPr>
          <w:rFonts w:asciiTheme="minorHAnsi" w:hAnsiTheme="minorHAnsi" w:cstheme="minorHAnsi"/>
          <w:b/>
          <w:sz w:val="28"/>
          <w:szCs w:val="24"/>
          <w:lang w:val="es-ES"/>
        </w:rPr>
        <w:t xml:space="preserve"> sustanciará por parte de FFCCS para los niveles de riesgo referidos en el apartado anterior:</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Pr="009B3B33" w:rsidRDefault="0037294E" w:rsidP="0037294E">
      <w:pPr>
        <w:pStyle w:val="Prrafodelista"/>
        <w:widowControl/>
        <w:numPr>
          <w:ilvl w:val="0"/>
          <w:numId w:val="1"/>
        </w:numPr>
        <w:spacing w:before="120" w:after="120"/>
        <w:ind w:right="332"/>
        <w:jc w:val="both"/>
        <w:rPr>
          <w:rFonts w:asciiTheme="minorHAnsi" w:hAnsiTheme="minorHAnsi" w:cstheme="minorHAnsi"/>
          <w:sz w:val="28"/>
          <w:szCs w:val="24"/>
          <w:lang w:val="es-ES"/>
        </w:rPr>
      </w:pPr>
      <w:r w:rsidRPr="009B3B33">
        <w:rPr>
          <w:rFonts w:asciiTheme="minorHAnsi" w:hAnsiTheme="minorHAnsi" w:cstheme="minorHAnsi"/>
          <w:b/>
          <w:sz w:val="28"/>
          <w:szCs w:val="24"/>
          <w:lang w:val="es-ES"/>
        </w:rPr>
        <w:t>En Diligencia policial</w:t>
      </w:r>
      <w:r w:rsidRPr="009B3B33">
        <w:rPr>
          <w:rFonts w:asciiTheme="minorHAnsi" w:hAnsiTheme="minorHAnsi" w:cstheme="minorHAnsi"/>
          <w:sz w:val="28"/>
          <w:szCs w:val="24"/>
          <w:lang w:val="es-ES"/>
        </w:rPr>
        <w:t>, en el cuerpo del Atestado, t</w:t>
      </w:r>
      <w:r w:rsidR="009B3B33">
        <w:rPr>
          <w:rFonts w:asciiTheme="minorHAnsi" w:hAnsiTheme="minorHAnsi" w:cstheme="minorHAnsi"/>
          <w:sz w:val="28"/>
          <w:szCs w:val="24"/>
          <w:lang w:val="es-ES"/>
        </w:rPr>
        <w:t>ras la práctica de VPR o VPER-C.</w:t>
      </w:r>
      <w:r w:rsidRPr="009B3B33">
        <w:rPr>
          <w:rFonts w:asciiTheme="minorHAnsi" w:hAnsiTheme="minorHAnsi" w:cstheme="minorHAnsi"/>
          <w:sz w:val="28"/>
          <w:szCs w:val="24"/>
          <w:lang w:val="es-ES"/>
        </w:rPr>
        <w:br w:type="page"/>
      </w:r>
    </w:p>
    <w:p w:rsidR="0037294E" w:rsidRPr="0075406E" w:rsidRDefault="0037294E" w:rsidP="0037294E">
      <w:pPr>
        <w:pStyle w:val="Prrafodelista"/>
        <w:spacing w:before="120" w:after="120"/>
        <w:ind w:left="720" w:right="332"/>
        <w:jc w:val="both"/>
        <w:rPr>
          <w:rFonts w:asciiTheme="minorHAnsi" w:hAnsiTheme="minorHAnsi" w:cstheme="minorHAnsi"/>
          <w:color w:val="7030A0"/>
          <w:sz w:val="28"/>
          <w:szCs w:val="24"/>
          <w:lang w:val="es-ES"/>
        </w:rPr>
      </w:pPr>
    </w:p>
    <w:p w:rsidR="0037294E" w:rsidRPr="00ED7CD1"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sidRPr="00ED7CD1">
        <w:rPr>
          <w:rFonts w:asciiTheme="minorHAnsi" w:hAnsiTheme="minorHAnsi" w:cstheme="minorHAnsi"/>
          <w:b/>
          <w:sz w:val="28"/>
          <w:szCs w:val="24"/>
          <w:lang w:val="es-ES"/>
        </w:rPr>
        <w:t>En Oficio aparte</w:t>
      </w:r>
      <w:r w:rsidRPr="00ED7CD1">
        <w:rPr>
          <w:rFonts w:asciiTheme="minorHAnsi" w:hAnsiTheme="minorHAnsi" w:cstheme="minorHAnsi"/>
          <w:sz w:val="28"/>
          <w:szCs w:val="24"/>
          <w:lang w:val="es-ES"/>
        </w:rPr>
        <w:t>, cuando se trate de VPER-S</w:t>
      </w:r>
      <w:r w:rsidR="00FD1352">
        <w:rPr>
          <w:rStyle w:val="Refdenotaalpie"/>
          <w:rFonts w:asciiTheme="minorHAnsi" w:hAnsiTheme="minorHAnsi" w:cstheme="minorHAnsi"/>
          <w:sz w:val="28"/>
          <w:szCs w:val="24"/>
          <w:lang w:val="es-ES"/>
        </w:rPr>
        <w:footnoteReference w:id="2"/>
      </w:r>
      <w:r w:rsidR="00ED7CD1" w:rsidRPr="00ED7CD1">
        <w:rPr>
          <w:rFonts w:asciiTheme="minorHAnsi" w:hAnsiTheme="minorHAnsi" w:cstheme="minorHAnsi"/>
          <w:sz w:val="28"/>
          <w:szCs w:val="24"/>
          <w:lang w:val="es-ES"/>
        </w:rPr>
        <w:t xml:space="preserve"> y el riesgo se eleve de forma automática o sea el propio</w:t>
      </w:r>
      <w:r w:rsidRPr="00ED7CD1">
        <w:rPr>
          <w:rFonts w:asciiTheme="minorHAnsi" w:hAnsiTheme="minorHAnsi" w:cstheme="minorHAnsi"/>
          <w:sz w:val="28"/>
          <w:szCs w:val="24"/>
          <w:lang w:val="es-ES"/>
        </w:rPr>
        <w:t xml:space="preserve"> agente evaluador </w:t>
      </w:r>
      <w:r w:rsidR="00ED7CD1" w:rsidRPr="00ED7CD1">
        <w:rPr>
          <w:rFonts w:asciiTheme="minorHAnsi" w:hAnsiTheme="minorHAnsi" w:cstheme="minorHAnsi"/>
          <w:sz w:val="28"/>
          <w:szCs w:val="24"/>
          <w:lang w:val="es-ES"/>
        </w:rPr>
        <w:t xml:space="preserve">el que </w:t>
      </w:r>
      <w:r w:rsidRPr="00ED7CD1">
        <w:rPr>
          <w:rFonts w:asciiTheme="minorHAnsi" w:hAnsiTheme="minorHAnsi" w:cstheme="minorHAnsi"/>
          <w:sz w:val="28"/>
          <w:szCs w:val="24"/>
          <w:lang w:val="es-ES"/>
        </w:rPr>
        <w:t xml:space="preserve">estime conveniente elevar </w:t>
      </w:r>
      <w:r w:rsidR="00ED7CD1" w:rsidRPr="00ED7CD1">
        <w:rPr>
          <w:rFonts w:asciiTheme="minorHAnsi" w:hAnsiTheme="minorHAnsi" w:cstheme="minorHAnsi"/>
          <w:sz w:val="28"/>
          <w:szCs w:val="24"/>
          <w:lang w:val="es-ES"/>
        </w:rPr>
        <w:t>al alza el mismo</w:t>
      </w:r>
      <w:r w:rsidR="009B3B33" w:rsidRPr="00ED7CD1">
        <w:rPr>
          <w:rFonts w:asciiTheme="minorHAnsi" w:hAnsiTheme="minorHAnsi" w:cstheme="minorHAnsi"/>
          <w:sz w:val="28"/>
          <w:szCs w:val="24"/>
          <w:lang w:val="es-ES"/>
        </w:rPr>
        <w:t>respecto al resultado arrojado por el Sistema VioGén</w:t>
      </w:r>
      <w:r w:rsidR="00ED7CD1" w:rsidRPr="00ED7CD1">
        <w:rPr>
          <w:rFonts w:asciiTheme="minorHAnsi" w:hAnsiTheme="minorHAnsi" w:cstheme="minorHAnsi"/>
          <w:sz w:val="28"/>
          <w:szCs w:val="24"/>
          <w:lang w:val="es-ES"/>
        </w:rPr>
        <w:t xml:space="preserve">. En estos supuestos </w:t>
      </w:r>
      <w:r w:rsidR="00ED7CD1" w:rsidRPr="00ED7CD1">
        <w:rPr>
          <w:rFonts w:asciiTheme="minorHAnsi" w:hAnsiTheme="minorHAnsi" w:cstheme="minorHAnsi"/>
          <w:b/>
          <w:sz w:val="28"/>
          <w:szCs w:val="24"/>
          <w:u w:val="single"/>
          <w:lang w:val="es-ES"/>
        </w:rPr>
        <w:t>el Caso ha de contar con Orden de Protección acordada previamente tras el proceso judicial.</w:t>
      </w:r>
    </w:p>
    <w:p w:rsidR="00ED7CD1" w:rsidRPr="00ED7CD1" w:rsidRDefault="00ED7CD1" w:rsidP="00ED7CD1">
      <w:pPr>
        <w:pStyle w:val="Prrafodelista"/>
        <w:rPr>
          <w:rFonts w:asciiTheme="minorHAnsi" w:hAnsiTheme="minorHAnsi" w:cstheme="minorHAnsi"/>
          <w:sz w:val="28"/>
          <w:szCs w:val="24"/>
          <w:lang w:val="es-ES"/>
        </w:rPr>
      </w:pPr>
    </w:p>
    <w:p w:rsidR="007D075C" w:rsidRDefault="00ED7CD1" w:rsidP="0037294E">
      <w:pPr>
        <w:spacing w:before="120" w:after="120"/>
        <w:ind w:right="332"/>
        <w:jc w:val="both"/>
        <w:rPr>
          <w:rFonts w:asciiTheme="minorHAnsi" w:hAnsiTheme="minorHAnsi" w:cstheme="minorHAnsi"/>
          <w:sz w:val="28"/>
          <w:szCs w:val="24"/>
          <w:lang w:val="es-ES"/>
        </w:rPr>
      </w:pPr>
      <w:r w:rsidRPr="00ED7CD1">
        <w:rPr>
          <w:rFonts w:asciiTheme="minorHAnsi" w:hAnsiTheme="minorHAnsi" w:cstheme="minorHAnsi"/>
          <w:sz w:val="28"/>
          <w:szCs w:val="24"/>
          <w:lang w:val="es-ES"/>
        </w:rPr>
        <w:t>En todos estos supuestos</w:t>
      </w:r>
      <w:r w:rsidR="0037294E" w:rsidRPr="00ED7CD1">
        <w:rPr>
          <w:rFonts w:asciiTheme="minorHAnsi" w:hAnsiTheme="minorHAnsi" w:cstheme="minorHAnsi"/>
          <w:sz w:val="28"/>
          <w:szCs w:val="24"/>
          <w:lang w:val="es-ES"/>
        </w:rPr>
        <w:t xml:space="preserve"> la solicitud </w:t>
      </w:r>
      <w:r w:rsidRPr="00ED7CD1">
        <w:rPr>
          <w:rFonts w:asciiTheme="minorHAnsi" w:hAnsiTheme="minorHAnsi" w:cstheme="minorHAnsi"/>
          <w:sz w:val="28"/>
          <w:szCs w:val="24"/>
          <w:lang w:val="es-ES"/>
        </w:rPr>
        <w:t xml:space="preserve">del DTC </w:t>
      </w:r>
      <w:r w:rsidR="0037294E" w:rsidRPr="00ED7CD1">
        <w:rPr>
          <w:rFonts w:asciiTheme="minorHAnsi" w:hAnsiTheme="minorHAnsi" w:cstheme="minorHAnsi"/>
          <w:sz w:val="28"/>
          <w:szCs w:val="24"/>
          <w:lang w:val="es-ES"/>
        </w:rPr>
        <w:t>deberá ser remitida</w:t>
      </w:r>
      <w:r>
        <w:rPr>
          <w:rFonts w:asciiTheme="minorHAnsi" w:hAnsiTheme="minorHAnsi" w:cstheme="minorHAnsi"/>
          <w:sz w:val="28"/>
          <w:szCs w:val="24"/>
          <w:lang w:val="es-ES"/>
        </w:rPr>
        <w:t>, en el formato referido, ya sea Atestado u Oficio policial,</w:t>
      </w:r>
      <w:r w:rsidR="006F3EF8">
        <w:rPr>
          <w:rFonts w:asciiTheme="minorHAnsi" w:hAnsiTheme="minorHAnsi" w:cstheme="minorHAnsi"/>
          <w:sz w:val="28"/>
          <w:szCs w:val="24"/>
          <w:lang w:val="es-ES"/>
        </w:rPr>
        <w:t xml:space="preserve">haciendo constar expresamente  los datos del </w:t>
      </w:r>
      <w:r>
        <w:rPr>
          <w:rFonts w:asciiTheme="minorHAnsi" w:hAnsiTheme="minorHAnsi" w:cstheme="minorHAnsi"/>
          <w:sz w:val="28"/>
          <w:szCs w:val="24"/>
          <w:lang w:val="es-ES"/>
        </w:rPr>
        <w:t>Juzgado, y/o Procedimient</w:t>
      </w:r>
      <w:r w:rsidR="006F3EF8">
        <w:rPr>
          <w:rFonts w:asciiTheme="minorHAnsi" w:hAnsiTheme="minorHAnsi" w:cstheme="minorHAnsi"/>
          <w:sz w:val="28"/>
          <w:szCs w:val="24"/>
          <w:lang w:val="es-ES"/>
        </w:rPr>
        <w:t>o o desconocimiento de los mismos a los siguientes destinatarios</w:t>
      </w:r>
      <w:r w:rsidR="002E61CF">
        <w:rPr>
          <w:rFonts w:asciiTheme="minorHAnsi" w:hAnsiTheme="minorHAnsi" w:cstheme="minorHAnsi"/>
          <w:sz w:val="28"/>
          <w:szCs w:val="24"/>
          <w:lang w:val="es-ES"/>
        </w:rPr>
        <w:t xml:space="preserve"> (los dos)</w:t>
      </w:r>
      <w:r w:rsidR="007D075C" w:rsidRPr="00ED7CD1">
        <w:rPr>
          <w:rFonts w:asciiTheme="minorHAnsi" w:hAnsiTheme="minorHAnsi" w:cstheme="minorHAnsi"/>
          <w:sz w:val="28"/>
          <w:szCs w:val="24"/>
          <w:lang w:val="es-ES"/>
        </w:rPr>
        <w:t>:</w:t>
      </w:r>
    </w:p>
    <w:p w:rsidR="006F3EF8" w:rsidRDefault="006F3EF8" w:rsidP="0037294E">
      <w:pPr>
        <w:spacing w:before="120" w:after="120"/>
        <w:ind w:right="332"/>
        <w:jc w:val="both"/>
        <w:rPr>
          <w:rFonts w:asciiTheme="minorHAnsi" w:hAnsiTheme="minorHAnsi" w:cstheme="minorHAnsi"/>
          <w:sz w:val="28"/>
          <w:szCs w:val="24"/>
          <w:lang w:val="es-ES"/>
        </w:rPr>
      </w:pPr>
    </w:p>
    <w:p w:rsidR="007D075C" w:rsidRPr="00ED7CD1" w:rsidRDefault="0037294E" w:rsidP="007D075C">
      <w:pPr>
        <w:pStyle w:val="Prrafodelista"/>
        <w:numPr>
          <w:ilvl w:val="0"/>
          <w:numId w:val="3"/>
        </w:numPr>
        <w:spacing w:before="120" w:after="120"/>
        <w:ind w:right="332"/>
        <w:jc w:val="both"/>
        <w:rPr>
          <w:rFonts w:asciiTheme="minorHAnsi" w:hAnsiTheme="minorHAnsi" w:cstheme="minorHAnsi"/>
          <w:sz w:val="28"/>
          <w:szCs w:val="24"/>
          <w:lang w:val="es-ES"/>
        </w:rPr>
      </w:pPr>
      <w:r w:rsidRPr="00ED7CD1">
        <w:rPr>
          <w:rFonts w:asciiTheme="minorHAnsi" w:hAnsiTheme="minorHAnsi" w:cstheme="minorHAnsi"/>
          <w:i/>
          <w:sz w:val="28"/>
          <w:szCs w:val="24"/>
          <w:lang w:val="es-ES"/>
        </w:rPr>
        <w:t>Fiscalía Delegada de Violencia sobre la mujer de la demarcación o en su defecto al Fiscal de enlace</w:t>
      </w:r>
      <w:r w:rsidR="007D075C" w:rsidRPr="00ED7CD1">
        <w:rPr>
          <w:rFonts w:asciiTheme="minorHAnsi" w:hAnsiTheme="minorHAnsi" w:cstheme="minorHAnsi"/>
          <w:sz w:val="28"/>
          <w:szCs w:val="24"/>
          <w:lang w:val="es-ES"/>
        </w:rPr>
        <w:t>.</w:t>
      </w:r>
    </w:p>
    <w:p w:rsidR="007D075C" w:rsidRPr="002E61CF" w:rsidRDefault="0037294E" w:rsidP="007D075C">
      <w:pPr>
        <w:pStyle w:val="Prrafodelista"/>
        <w:numPr>
          <w:ilvl w:val="0"/>
          <w:numId w:val="3"/>
        </w:numPr>
        <w:spacing w:before="120" w:after="120"/>
        <w:ind w:right="332"/>
        <w:jc w:val="both"/>
        <w:rPr>
          <w:rFonts w:asciiTheme="minorHAnsi" w:hAnsiTheme="minorHAnsi" w:cstheme="minorHAnsi"/>
          <w:i/>
          <w:sz w:val="28"/>
          <w:szCs w:val="24"/>
          <w:lang w:val="es-ES"/>
        </w:rPr>
      </w:pPr>
      <w:r w:rsidRPr="002E61CF">
        <w:rPr>
          <w:rFonts w:asciiTheme="minorHAnsi" w:hAnsiTheme="minorHAnsi" w:cstheme="minorHAnsi"/>
          <w:i/>
          <w:sz w:val="28"/>
          <w:szCs w:val="24"/>
          <w:lang w:val="es-ES"/>
        </w:rPr>
        <w:t xml:space="preserve">Juzgado </w:t>
      </w:r>
      <w:r w:rsidR="00566C98" w:rsidRPr="002E61CF">
        <w:rPr>
          <w:rFonts w:asciiTheme="minorHAnsi" w:hAnsiTheme="minorHAnsi" w:cstheme="minorHAnsi"/>
          <w:i/>
          <w:sz w:val="28"/>
          <w:szCs w:val="24"/>
          <w:lang w:val="es-ES"/>
        </w:rPr>
        <w:t>competente en la causa/procedimiento.</w:t>
      </w:r>
    </w:p>
    <w:p w:rsidR="006F3EF8" w:rsidRPr="00ED7CD1" w:rsidRDefault="006F3EF8" w:rsidP="006F3EF8">
      <w:pPr>
        <w:pStyle w:val="Prrafodelista"/>
        <w:spacing w:before="120" w:after="120"/>
        <w:ind w:left="780" w:right="332"/>
        <w:jc w:val="both"/>
        <w:rPr>
          <w:rFonts w:asciiTheme="minorHAnsi" w:hAnsiTheme="minorHAnsi" w:cstheme="minorHAnsi"/>
          <w:sz w:val="28"/>
          <w:szCs w:val="24"/>
          <w:lang w:val="es-ES"/>
        </w:rPr>
      </w:pPr>
    </w:p>
    <w:p w:rsidR="0037294E" w:rsidRPr="00DE45F4" w:rsidRDefault="0037294E" w:rsidP="0037294E">
      <w:pPr>
        <w:pStyle w:val="Prrafodelista"/>
        <w:numPr>
          <w:ilvl w:val="0"/>
          <w:numId w:val="2"/>
        </w:numPr>
        <w:spacing w:before="120" w:after="120"/>
        <w:ind w:right="332"/>
        <w:jc w:val="both"/>
        <w:rPr>
          <w:rFonts w:asciiTheme="minorHAnsi" w:hAnsiTheme="minorHAnsi" w:cstheme="minorHAnsi"/>
          <w:b/>
          <w:sz w:val="28"/>
          <w:szCs w:val="24"/>
          <w:lang w:val="es-ES"/>
        </w:rPr>
      </w:pPr>
      <w:r w:rsidRPr="00DE45F4">
        <w:rPr>
          <w:rFonts w:asciiTheme="minorHAnsi" w:hAnsiTheme="minorHAnsi" w:cstheme="minorHAnsi"/>
          <w:b/>
          <w:sz w:val="28"/>
          <w:szCs w:val="24"/>
          <w:lang w:val="es-ES"/>
        </w:rPr>
        <w:t xml:space="preserve">El texto de solicitud de DTC a Fiscalía acordado para incluir en Diligencia en el Atestado o en el Oficio policial </w:t>
      </w:r>
      <w:r>
        <w:rPr>
          <w:rFonts w:asciiTheme="minorHAnsi" w:hAnsiTheme="minorHAnsi" w:cstheme="minorHAnsi"/>
          <w:b/>
          <w:sz w:val="28"/>
          <w:szCs w:val="24"/>
          <w:lang w:val="es-ES"/>
        </w:rPr>
        <w:t>deberá ser en líneas generales</w:t>
      </w:r>
      <w:r w:rsidRPr="00DE45F4">
        <w:rPr>
          <w:rFonts w:asciiTheme="minorHAnsi" w:hAnsiTheme="minorHAnsi" w:cstheme="minorHAnsi"/>
          <w:b/>
          <w:sz w:val="28"/>
          <w:szCs w:val="24"/>
          <w:lang w:val="es-ES"/>
        </w:rPr>
        <w:t xml:space="preserve"> el siguiente</w:t>
      </w:r>
      <w:r>
        <w:rPr>
          <w:rFonts w:asciiTheme="minorHAnsi" w:hAnsiTheme="minorHAnsi" w:cstheme="minorHAnsi"/>
          <w:b/>
          <w:sz w:val="28"/>
          <w:szCs w:val="24"/>
          <w:lang w:val="es-ES"/>
        </w:rPr>
        <w:t xml:space="preserve"> que, en términos sino idénticos muy similares</w:t>
      </w:r>
      <w:r w:rsidR="00566C98">
        <w:rPr>
          <w:rFonts w:asciiTheme="minorHAnsi" w:hAnsiTheme="minorHAnsi" w:cstheme="minorHAnsi"/>
          <w:b/>
          <w:sz w:val="28"/>
          <w:szCs w:val="24"/>
          <w:lang w:val="es-ES"/>
        </w:rPr>
        <w:t xml:space="preserve">, deberá ser </w:t>
      </w:r>
      <w:r w:rsidR="00566C98" w:rsidRPr="002E61CF">
        <w:rPr>
          <w:rFonts w:asciiTheme="minorHAnsi" w:hAnsiTheme="minorHAnsi" w:cstheme="minorHAnsi"/>
          <w:b/>
          <w:sz w:val="28"/>
          <w:szCs w:val="24"/>
          <w:lang w:val="es-ES"/>
        </w:rPr>
        <w:t>ado</w:t>
      </w:r>
      <w:r w:rsidRPr="002E61CF">
        <w:rPr>
          <w:rFonts w:asciiTheme="minorHAnsi" w:hAnsiTheme="minorHAnsi" w:cstheme="minorHAnsi"/>
          <w:b/>
          <w:sz w:val="28"/>
          <w:szCs w:val="24"/>
          <w:lang w:val="es-ES"/>
        </w:rPr>
        <w:t xml:space="preserve">ptado </w:t>
      </w:r>
      <w:r>
        <w:rPr>
          <w:rFonts w:asciiTheme="minorHAnsi" w:hAnsiTheme="minorHAnsi" w:cstheme="minorHAnsi"/>
          <w:b/>
          <w:sz w:val="28"/>
          <w:szCs w:val="24"/>
          <w:lang w:val="es-ES"/>
        </w:rPr>
        <w:t>por FFCCS en todas las demarcaciones</w:t>
      </w:r>
      <w:r w:rsidRPr="00DE45F4">
        <w:rPr>
          <w:rFonts w:asciiTheme="minorHAnsi" w:hAnsiTheme="minorHAnsi" w:cstheme="minorHAnsi"/>
          <w:b/>
          <w:sz w:val="28"/>
          <w:szCs w:val="24"/>
          <w:lang w:val="es-ES"/>
        </w:rPr>
        <w:t>:</w:t>
      </w:r>
    </w:p>
    <w:p w:rsidR="0037294E" w:rsidRDefault="0037294E" w:rsidP="0037294E">
      <w:pPr>
        <w:spacing w:before="120" w:after="120"/>
        <w:ind w:right="332"/>
        <w:jc w:val="both"/>
        <w:rPr>
          <w:rFonts w:asciiTheme="minorHAnsi" w:hAnsiTheme="minorHAnsi" w:cstheme="minorHAnsi"/>
          <w:sz w:val="28"/>
          <w:szCs w:val="24"/>
          <w:lang w:val="es-ES"/>
        </w:rPr>
      </w:pPr>
    </w:p>
    <w:p w:rsidR="0037294E" w:rsidRPr="00623B9F" w:rsidRDefault="0037294E" w:rsidP="0037294E">
      <w:pPr>
        <w:spacing w:before="120" w:after="120"/>
        <w:ind w:right="332"/>
        <w:jc w:val="both"/>
        <w:rPr>
          <w:rFonts w:asciiTheme="minorHAnsi" w:hAnsiTheme="minorHAnsi" w:cstheme="minorHAnsi"/>
          <w:b/>
          <w:i/>
          <w:color w:val="C0504D" w:themeColor="accent2"/>
          <w:sz w:val="28"/>
          <w:szCs w:val="24"/>
          <w:lang w:val="es-ES"/>
        </w:rPr>
      </w:pPr>
      <w:r w:rsidRPr="00623B9F">
        <w:rPr>
          <w:rFonts w:asciiTheme="minorHAnsi" w:hAnsiTheme="minorHAnsi" w:cstheme="minorHAnsi"/>
          <w:b/>
          <w:color w:val="C0504D" w:themeColor="accent2"/>
          <w:sz w:val="28"/>
          <w:szCs w:val="24"/>
          <w:lang w:val="es-ES"/>
        </w:rPr>
        <w:t xml:space="preserve">Dándose cumplimiento a la Instrucción 4/2019 de 13 de Marzo, por la que se aprueba el </w:t>
      </w:r>
      <w:r w:rsidRPr="00623B9F">
        <w:rPr>
          <w:rFonts w:asciiTheme="minorHAnsi" w:hAnsiTheme="minorHAnsi" w:cstheme="minorHAnsi"/>
          <w:b/>
          <w:i/>
          <w:color w:val="C0504D" w:themeColor="accent2"/>
          <w:sz w:val="28"/>
          <w:szCs w:val="24"/>
          <w:lang w:val="es-ES"/>
        </w:rPr>
        <w:t xml:space="preserve">Protocolo de valoración policial del riesgo de violencia de género (LO 1/2004), gestión de la seguridad de las víctimas y seguimiento de los Casos VdG a través del Sistema VioGén, </w:t>
      </w:r>
      <w:r w:rsidRPr="00623B9F">
        <w:rPr>
          <w:rFonts w:asciiTheme="minorHAnsi" w:hAnsiTheme="minorHAnsi" w:cstheme="minorHAnsi"/>
          <w:b/>
          <w:color w:val="C0504D" w:themeColor="accent2"/>
          <w:sz w:val="28"/>
          <w:szCs w:val="24"/>
          <w:lang w:val="es-ES"/>
        </w:rPr>
        <w:t>habida cuenta de que los Dispositivos Telemáticos de Control son una herramienta eficaz en la protección de víctimas y prevención de reincidencia y quebrantamiento de medidas judiciales de protecci</w:t>
      </w:r>
      <w:r>
        <w:rPr>
          <w:rFonts w:asciiTheme="minorHAnsi" w:hAnsiTheme="minorHAnsi" w:cstheme="minorHAnsi"/>
          <w:b/>
          <w:color w:val="C0504D" w:themeColor="accent2"/>
          <w:sz w:val="28"/>
          <w:szCs w:val="24"/>
          <w:lang w:val="es-ES"/>
        </w:rPr>
        <w:t>ón</w:t>
      </w:r>
      <w:r w:rsidR="00622D57">
        <w:rPr>
          <w:rFonts w:asciiTheme="minorHAnsi" w:hAnsiTheme="minorHAnsi" w:cstheme="minorHAnsi"/>
          <w:b/>
          <w:color w:val="C0504D" w:themeColor="accent2"/>
          <w:sz w:val="28"/>
          <w:szCs w:val="24"/>
          <w:lang w:val="es-ES"/>
        </w:rPr>
        <w:t>,</w:t>
      </w:r>
    </w:p>
    <w:p w:rsidR="0037294E" w:rsidRDefault="0037294E" w:rsidP="0037294E">
      <w:pPr>
        <w:spacing w:before="120" w:after="120"/>
        <w:ind w:right="332"/>
        <w:jc w:val="both"/>
        <w:rPr>
          <w:rFonts w:asciiTheme="minorHAnsi" w:hAnsiTheme="minorHAnsi" w:cstheme="minorHAnsi"/>
          <w:color w:val="C0504D" w:themeColor="accent2"/>
          <w:sz w:val="28"/>
          <w:szCs w:val="24"/>
          <w:lang w:val="es-ES"/>
        </w:rPr>
      </w:pPr>
      <w:r w:rsidRPr="00623B9F">
        <w:rPr>
          <w:rFonts w:asciiTheme="minorHAnsi" w:hAnsiTheme="minorHAnsi" w:cstheme="minorHAnsi"/>
          <w:b/>
          <w:color w:val="C0504D" w:themeColor="accent2"/>
          <w:sz w:val="28"/>
          <w:szCs w:val="24"/>
          <w:lang w:val="es-ES"/>
        </w:rPr>
        <w:t>SE SOLICITA a Fiscalía valore</w:t>
      </w:r>
      <w:r>
        <w:rPr>
          <w:rFonts w:asciiTheme="minorHAnsi" w:hAnsiTheme="minorHAnsi" w:cstheme="minorHAnsi"/>
          <w:b/>
          <w:color w:val="C0504D" w:themeColor="accent2"/>
          <w:sz w:val="28"/>
          <w:szCs w:val="24"/>
          <w:lang w:val="es-ES"/>
        </w:rPr>
        <w:t>, caso de acordarse orden de protección o medida de alejamiento,</w:t>
      </w:r>
      <w:r w:rsidRPr="00623B9F">
        <w:rPr>
          <w:rFonts w:asciiTheme="minorHAnsi" w:hAnsiTheme="minorHAnsi" w:cstheme="minorHAnsi"/>
          <w:b/>
          <w:color w:val="C0504D" w:themeColor="accent2"/>
          <w:sz w:val="28"/>
          <w:szCs w:val="24"/>
          <w:lang w:val="es-ES"/>
        </w:rPr>
        <w:t xml:space="preserve"> la oportunidad y conveniencia de instar a la </w:t>
      </w:r>
      <w:r w:rsidRPr="00623B9F">
        <w:rPr>
          <w:rFonts w:asciiTheme="minorHAnsi" w:hAnsiTheme="minorHAnsi" w:cstheme="minorHAnsi"/>
          <w:b/>
          <w:color w:val="C0504D" w:themeColor="accent2"/>
          <w:sz w:val="28"/>
          <w:szCs w:val="24"/>
          <w:lang w:val="es-ES"/>
        </w:rPr>
        <w:lastRenderedPageBreak/>
        <w:t>Autoridad Judicial la adjudicación de un Dispositivo Telemático de Control para el presente Caso, en nivel de riesgo: (</w:t>
      </w:r>
      <w:r w:rsidRPr="00623B9F">
        <w:rPr>
          <w:rFonts w:asciiTheme="minorHAnsi" w:hAnsiTheme="minorHAnsi" w:cstheme="minorHAnsi"/>
          <w:color w:val="C0504D" w:themeColor="accent2"/>
          <w:sz w:val="28"/>
          <w:szCs w:val="24"/>
          <w:lang w:val="es-ES"/>
        </w:rPr>
        <w:t>MEDIO + Diligencia de Especial Relevancia / A</w:t>
      </w:r>
      <w:r>
        <w:rPr>
          <w:rFonts w:asciiTheme="minorHAnsi" w:hAnsiTheme="minorHAnsi" w:cstheme="minorHAnsi"/>
          <w:color w:val="C0504D" w:themeColor="accent2"/>
          <w:sz w:val="28"/>
          <w:szCs w:val="24"/>
          <w:lang w:val="es-ES"/>
        </w:rPr>
        <w:t>LTO / EXTREMO</w:t>
      </w:r>
      <w:r w:rsidRPr="00623B9F">
        <w:rPr>
          <w:rFonts w:asciiTheme="minorHAnsi" w:hAnsiTheme="minorHAnsi" w:cstheme="minorHAnsi"/>
          <w:b/>
          <w:color w:val="C0504D" w:themeColor="accent2"/>
          <w:sz w:val="28"/>
          <w:szCs w:val="24"/>
          <w:lang w:val="es-ES"/>
        </w:rPr>
        <w:t xml:space="preserve">, para el seguimiento obligatorio del agresor </w:t>
      </w:r>
      <w:r w:rsidRPr="00623B9F">
        <w:rPr>
          <w:rFonts w:asciiTheme="minorHAnsi" w:hAnsiTheme="minorHAnsi" w:cstheme="minorHAnsi"/>
          <w:color w:val="C0504D" w:themeColor="accent2"/>
          <w:sz w:val="28"/>
          <w:szCs w:val="24"/>
          <w:lang w:val="es-ES"/>
        </w:rPr>
        <w:t xml:space="preserve">----------------------------------------------- </w:t>
      </w:r>
      <w:r w:rsidRPr="00623B9F">
        <w:rPr>
          <w:rFonts w:asciiTheme="minorHAnsi" w:hAnsiTheme="minorHAnsi" w:cstheme="minorHAnsi"/>
          <w:b/>
          <w:color w:val="C0504D" w:themeColor="accent2"/>
          <w:sz w:val="28"/>
          <w:szCs w:val="24"/>
          <w:lang w:val="es-ES"/>
        </w:rPr>
        <w:t xml:space="preserve">titular del DNI/NIE </w:t>
      </w:r>
      <w:r w:rsidRPr="00623B9F">
        <w:rPr>
          <w:rFonts w:asciiTheme="minorHAnsi" w:hAnsiTheme="minorHAnsi" w:cstheme="minorHAnsi"/>
          <w:color w:val="C0504D" w:themeColor="accent2"/>
          <w:sz w:val="28"/>
          <w:szCs w:val="24"/>
          <w:lang w:val="es-ES"/>
        </w:rPr>
        <w:t>---------------------</w:t>
      </w:r>
      <w:r w:rsidRPr="00623B9F">
        <w:rPr>
          <w:rFonts w:asciiTheme="minorHAnsi" w:hAnsiTheme="minorHAnsi" w:cstheme="minorHAnsi"/>
          <w:b/>
          <w:color w:val="C0504D" w:themeColor="accent2"/>
          <w:sz w:val="28"/>
          <w:szCs w:val="24"/>
          <w:lang w:val="es-ES"/>
        </w:rPr>
        <w:t xml:space="preserve"> y víctima: </w:t>
      </w:r>
      <w:r w:rsidRPr="00623B9F">
        <w:rPr>
          <w:rFonts w:asciiTheme="minorHAnsi" w:hAnsiTheme="minorHAnsi" w:cstheme="minorHAnsi"/>
          <w:color w:val="C0504D" w:themeColor="accent2"/>
          <w:sz w:val="28"/>
          <w:szCs w:val="24"/>
          <w:lang w:val="es-ES"/>
        </w:rPr>
        <w:t>--------------------------------------------</w:t>
      </w:r>
      <w:r w:rsidRPr="00623B9F">
        <w:rPr>
          <w:rFonts w:asciiTheme="minorHAnsi" w:hAnsiTheme="minorHAnsi" w:cstheme="minorHAnsi"/>
          <w:b/>
          <w:color w:val="C0504D" w:themeColor="accent2"/>
          <w:sz w:val="28"/>
          <w:szCs w:val="24"/>
          <w:lang w:val="es-ES"/>
        </w:rPr>
        <w:t xml:space="preserve"> titular del DNI/NIE </w:t>
      </w:r>
      <w:r w:rsidRPr="00623B9F">
        <w:rPr>
          <w:rFonts w:asciiTheme="minorHAnsi" w:hAnsiTheme="minorHAnsi" w:cstheme="minorHAnsi"/>
          <w:color w:val="C0504D" w:themeColor="accent2"/>
          <w:sz w:val="28"/>
          <w:szCs w:val="24"/>
          <w:lang w:val="es-ES"/>
        </w:rPr>
        <w:t>---------------------------</w:t>
      </w:r>
      <w:r>
        <w:rPr>
          <w:rFonts w:asciiTheme="minorHAnsi" w:hAnsiTheme="minorHAnsi" w:cstheme="minorHAnsi"/>
          <w:color w:val="C0504D" w:themeColor="accent2"/>
          <w:sz w:val="28"/>
          <w:szCs w:val="24"/>
          <w:lang w:val="es-ES"/>
        </w:rPr>
        <w:t>--------</w:t>
      </w:r>
    </w:p>
    <w:p w:rsidR="0037294E" w:rsidRDefault="0037294E" w:rsidP="0037294E">
      <w:pPr>
        <w:widowControl/>
        <w:rPr>
          <w:rFonts w:asciiTheme="minorHAnsi" w:hAnsiTheme="minorHAnsi" w:cstheme="minorHAnsi"/>
          <w:color w:val="C0504D" w:themeColor="accent2"/>
          <w:sz w:val="28"/>
          <w:szCs w:val="24"/>
          <w:lang w:val="es-ES"/>
        </w:rPr>
      </w:pPr>
    </w:p>
    <w:p w:rsidR="0037294E" w:rsidRPr="001B462D" w:rsidRDefault="0037294E" w:rsidP="0037294E">
      <w:pPr>
        <w:spacing w:before="120" w:after="120"/>
        <w:ind w:left="142" w:right="332"/>
        <w:jc w:val="center"/>
        <w:rPr>
          <w:rFonts w:asciiTheme="minorHAnsi" w:hAnsiTheme="minorHAnsi" w:cstheme="minorHAnsi"/>
          <w:b/>
          <w:color w:val="C0504D" w:themeColor="accent2"/>
          <w:sz w:val="28"/>
          <w:szCs w:val="24"/>
          <w:lang w:val="es-ES"/>
        </w:rPr>
      </w:pPr>
      <w:r>
        <w:rPr>
          <w:rFonts w:asciiTheme="minorHAnsi" w:hAnsiTheme="minorHAnsi" w:cstheme="minorHAnsi"/>
          <w:b/>
          <w:color w:val="C0504D" w:themeColor="accent2"/>
          <w:sz w:val="28"/>
          <w:szCs w:val="24"/>
          <w:lang w:val="es-ES"/>
        </w:rPr>
        <w:t>ELEVACIÓN DEL RIESGO POR PARTE DEL AGENTE EVALUADOR – JUSTIFICACIÓN NECESARIA</w:t>
      </w:r>
      <w:r w:rsidRPr="001B462D">
        <w:rPr>
          <w:rFonts w:asciiTheme="minorHAnsi" w:hAnsiTheme="minorHAnsi" w:cstheme="minorHAnsi"/>
          <w:b/>
          <w:color w:val="C0504D" w:themeColor="accent2"/>
          <w:sz w:val="28"/>
          <w:szCs w:val="24"/>
          <w:lang w:val="es-ES"/>
        </w:rPr>
        <w:t>.</w:t>
      </w:r>
    </w:p>
    <w:p w:rsidR="0037294E" w:rsidRDefault="0037294E" w:rsidP="0037294E">
      <w:pPr>
        <w:spacing w:before="120" w:after="120"/>
        <w:ind w:right="332"/>
        <w:jc w:val="both"/>
        <w:rPr>
          <w:rFonts w:asciiTheme="minorHAnsi" w:hAnsiTheme="minorHAnsi" w:cstheme="minorHAnsi"/>
          <w:color w:val="C0504D" w:themeColor="accent2"/>
          <w:sz w:val="28"/>
          <w:szCs w:val="24"/>
          <w:lang w:val="es-ES"/>
        </w:rPr>
      </w:pPr>
    </w:p>
    <w:p w:rsidR="0037294E" w:rsidRDefault="0037294E" w:rsidP="0037294E">
      <w:p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Tanto Fiscalía como SES valoran MUY POSITIVAMENTE que, según lo establecido en la Instrucción SES 4/2019 de 13 de Marzo, los agentes evaluadores </w:t>
      </w:r>
      <w:r w:rsidRPr="00F06BA5">
        <w:rPr>
          <w:rFonts w:asciiTheme="minorHAnsi" w:hAnsiTheme="minorHAnsi" w:cstheme="minorHAnsi"/>
          <w:b/>
          <w:sz w:val="28"/>
          <w:szCs w:val="24"/>
          <w:lang w:val="es-ES"/>
        </w:rPr>
        <w:t xml:space="preserve">eleven el </w:t>
      </w:r>
      <w:r w:rsidR="00622D57" w:rsidRPr="006F3EF8">
        <w:rPr>
          <w:rFonts w:asciiTheme="minorHAnsi" w:hAnsiTheme="minorHAnsi" w:cstheme="minorHAnsi"/>
          <w:b/>
          <w:sz w:val="28"/>
          <w:szCs w:val="24"/>
          <w:lang w:val="es-ES"/>
        </w:rPr>
        <w:t>riesgo</w:t>
      </w:r>
      <w:r w:rsidRPr="006F3EF8">
        <w:rPr>
          <w:rFonts w:asciiTheme="minorHAnsi" w:hAnsiTheme="minorHAnsi" w:cstheme="minorHAnsi"/>
          <w:b/>
          <w:sz w:val="28"/>
          <w:szCs w:val="24"/>
          <w:lang w:val="es-ES"/>
        </w:rPr>
        <w:t xml:space="preserve"> al alza cuando a su juicio, </w:t>
      </w:r>
      <w:r w:rsidR="009C3EA7" w:rsidRPr="006F3EF8">
        <w:rPr>
          <w:rFonts w:asciiTheme="minorHAnsi" w:hAnsiTheme="minorHAnsi" w:cstheme="minorHAnsi"/>
          <w:b/>
          <w:sz w:val="28"/>
          <w:szCs w:val="24"/>
          <w:lang w:val="es-ES"/>
        </w:rPr>
        <w:t>sobre la</w:t>
      </w:r>
      <w:r w:rsidRPr="006F3EF8">
        <w:rPr>
          <w:rFonts w:asciiTheme="minorHAnsi" w:hAnsiTheme="minorHAnsi" w:cstheme="minorHAnsi"/>
          <w:b/>
          <w:sz w:val="28"/>
          <w:szCs w:val="24"/>
          <w:lang w:val="es-ES"/>
        </w:rPr>
        <w:t xml:space="preserve"> base </w:t>
      </w:r>
      <w:r w:rsidR="009C3EA7" w:rsidRPr="006F3EF8">
        <w:rPr>
          <w:rFonts w:asciiTheme="minorHAnsi" w:hAnsiTheme="minorHAnsi" w:cstheme="minorHAnsi"/>
          <w:b/>
          <w:sz w:val="28"/>
          <w:szCs w:val="24"/>
          <w:lang w:val="es-ES"/>
        </w:rPr>
        <w:t xml:space="preserve">de </w:t>
      </w:r>
      <w:r w:rsidRPr="006F3EF8">
        <w:rPr>
          <w:rFonts w:asciiTheme="minorHAnsi" w:hAnsiTheme="minorHAnsi" w:cstheme="minorHAnsi"/>
          <w:b/>
          <w:sz w:val="28"/>
          <w:szCs w:val="24"/>
          <w:lang w:val="es-ES"/>
        </w:rPr>
        <w:t xml:space="preserve">su experiencia </w:t>
      </w:r>
      <w:r w:rsidRPr="00F06BA5">
        <w:rPr>
          <w:rFonts w:asciiTheme="minorHAnsi" w:hAnsiTheme="minorHAnsi" w:cstheme="minorHAnsi"/>
          <w:b/>
          <w:sz w:val="28"/>
          <w:szCs w:val="24"/>
          <w:lang w:val="es-ES"/>
        </w:rPr>
        <w:t>y formación, entiendan que hay indic</w:t>
      </w:r>
      <w:r>
        <w:rPr>
          <w:rFonts w:asciiTheme="minorHAnsi" w:hAnsiTheme="minorHAnsi" w:cstheme="minorHAnsi"/>
          <w:b/>
          <w:sz w:val="28"/>
          <w:szCs w:val="24"/>
          <w:lang w:val="es-ES"/>
        </w:rPr>
        <w:t xml:space="preserve">ios </w:t>
      </w:r>
      <w:r w:rsidR="009C3EA7">
        <w:rPr>
          <w:rFonts w:asciiTheme="minorHAnsi" w:hAnsiTheme="minorHAnsi" w:cstheme="minorHAnsi"/>
          <w:b/>
          <w:sz w:val="28"/>
          <w:szCs w:val="24"/>
          <w:lang w:val="es-ES"/>
        </w:rPr>
        <w:t>que aconseja</w:t>
      </w:r>
      <w:r w:rsidRPr="00F06BA5">
        <w:rPr>
          <w:rFonts w:asciiTheme="minorHAnsi" w:hAnsiTheme="minorHAnsi" w:cstheme="minorHAnsi"/>
          <w:b/>
          <w:sz w:val="28"/>
          <w:szCs w:val="24"/>
          <w:lang w:val="es-ES"/>
        </w:rPr>
        <w:t xml:space="preserve">n dicha elevación y </w:t>
      </w:r>
      <w:r>
        <w:rPr>
          <w:rFonts w:asciiTheme="minorHAnsi" w:hAnsiTheme="minorHAnsi" w:cstheme="minorHAnsi"/>
          <w:b/>
          <w:sz w:val="28"/>
          <w:szCs w:val="24"/>
          <w:lang w:val="es-ES"/>
        </w:rPr>
        <w:t>no se encuentre</w:t>
      </w:r>
      <w:r w:rsidRPr="00F06BA5">
        <w:rPr>
          <w:rFonts w:asciiTheme="minorHAnsi" w:hAnsiTheme="minorHAnsi" w:cstheme="minorHAnsi"/>
          <w:b/>
          <w:sz w:val="28"/>
          <w:szCs w:val="24"/>
          <w:lang w:val="es-ES"/>
        </w:rPr>
        <w:t>n recogidos en los indicadores de riesgo del Formulario de valoración</w:t>
      </w:r>
      <w:r>
        <w:rPr>
          <w:rFonts w:asciiTheme="minorHAnsi" w:hAnsiTheme="minorHAnsi" w:cstheme="minorHAnsi"/>
          <w:sz w:val="28"/>
          <w:szCs w:val="24"/>
          <w:lang w:val="es-ES"/>
        </w:rPr>
        <w:t>, todo ello en pro de una mejor y más efectiva protección de la víctima.</w:t>
      </w:r>
    </w:p>
    <w:p w:rsidR="0037294E" w:rsidRDefault="0037294E" w:rsidP="0037294E">
      <w:pPr>
        <w:spacing w:before="120" w:after="120"/>
        <w:ind w:right="332"/>
        <w:jc w:val="both"/>
        <w:rPr>
          <w:rFonts w:asciiTheme="minorHAnsi" w:hAnsiTheme="minorHAnsi" w:cstheme="minorHAnsi"/>
          <w:sz w:val="28"/>
          <w:szCs w:val="24"/>
          <w:lang w:val="es-ES"/>
        </w:rPr>
      </w:pPr>
    </w:p>
    <w:p w:rsidR="0037294E" w:rsidRDefault="0037294E" w:rsidP="0037294E">
      <w:p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Fiscalía en este sentido considera sumamente necesario que para estos Casos, se incluya en el Informe de Valoración Policial del Riesgo que arroja el Sistema VioGén que, bien se une al Atestado (VPR y VPER-C) o al Oficio policial (VPER-S), </w:t>
      </w:r>
      <w:r w:rsidRPr="00106F98">
        <w:rPr>
          <w:rFonts w:asciiTheme="minorHAnsi" w:hAnsiTheme="minorHAnsi" w:cstheme="minorHAnsi"/>
          <w:b/>
          <w:sz w:val="28"/>
          <w:szCs w:val="24"/>
          <w:lang w:val="es-ES"/>
        </w:rPr>
        <w:t>TEXTO JUSTIFICATIVO tan amplio como sea posible en relación con los motivos en los que el agente evaluador basa su decisión de elevar el riesgo</w:t>
      </w:r>
      <w:r>
        <w:rPr>
          <w:rFonts w:asciiTheme="minorHAnsi" w:hAnsiTheme="minorHAnsi" w:cstheme="minorHAnsi"/>
          <w:sz w:val="28"/>
          <w:szCs w:val="24"/>
          <w:lang w:val="es-ES"/>
        </w:rPr>
        <w:t>.</w:t>
      </w:r>
    </w:p>
    <w:p w:rsidR="006F3EF8" w:rsidRDefault="006F3EF8" w:rsidP="0037294E">
      <w:pPr>
        <w:spacing w:before="120" w:after="120"/>
        <w:ind w:right="332"/>
        <w:jc w:val="both"/>
        <w:rPr>
          <w:rFonts w:asciiTheme="minorHAnsi" w:hAnsiTheme="minorHAnsi" w:cstheme="minorHAnsi"/>
          <w:sz w:val="28"/>
          <w:szCs w:val="24"/>
          <w:lang w:val="es-ES"/>
        </w:rPr>
      </w:pPr>
    </w:p>
    <w:p w:rsidR="0037294E" w:rsidRDefault="0037294E" w:rsidP="0037294E">
      <w:p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En este punto </w:t>
      </w:r>
      <w:r w:rsidRPr="006F3EF8">
        <w:rPr>
          <w:rFonts w:asciiTheme="minorHAnsi" w:hAnsiTheme="minorHAnsi" w:cstheme="minorHAnsi"/>
          <w:b/>
          <w:sz w:val="28"/>
          <w:szCs w:val="24"/>
          <w:u w:val="single"/>
          <w:lang w:val="es-ES"/>
        </w:rPr>
        <w:t>se acuerda</w:t>
      </w:r>
      <w:r w:rsidR="006F3EF8" w:rsidRPr="006F3EF8">
        <w:rPr>
          <w:rFonts w:asciiTheme="minorHAnsi" w:hAnsiTheme="minorHAnsi" w:cstheme="minorHAnsi"/>
          <w:b/>
          <w:sz w:val="28"/>
          <w:szCs w:val="24"/>
          <w:u w:val="single"/>
          <w:lang w:val="es-ES"/>
        </w:rPr>
        <w:t xml:space="preserve"> en la reunión mantenida</w:t>
      </w:r>
      <w:r w:rsidRPr="006F3EF8">
        <w:rPr>
          <w:rFonts w:asciiTheme="minorHAnsi" w:hAnsiTheme="minorHAnsi" w:cstheme="minorHAnsi"/>
          <w:b/>
          <w:sz w:val="28"/>
          <w:szCs w:val="24"/>
          <w:u w:val="single"/>
          <w:lang w:val="es-ES"/>
        </w:rPr>
        <w:t>:</w:t>
      </w:r>
    </w:p>
    <w:p w:rsidR="006F3EF8" w:rsidRDefault="006F3EF8" w:rsidP="0037294E">
      <w:pPr>
        <w:spacing w:before="120" w:after="120"/>
        <w:ind w:right="332"/>
        <w:jc w:val="both"/>
        <w:rPr>
          <w:rFonts w:asciiTheme="minorHAnsi" w:hAnsiTheme="minorHAnsi" w:cstheme="minorHAnsi"/>
          <w:sz w:val="28"/>
          <w:szCs w:val="24"/>
          <w:lang w:val="es-ES"/>
        </w:rPr>
      </w:pPr>
    </w:p>
    <w:p w:rsidR="0037294E" w:rsidRDefault="0037294E" w:rsidP="0037294E">
      <w:p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Que los agentes evaluadores hagan un </w:t>
      </w:r>
      <w:r w:rsidRPr="00C073DB">
        <w:rPr>
          <w:rFonts w:asciiTheme="minorHAnsi" w:hAnsiTheme="minorHAnsi" w:cstheme="minorHAnsi"/>
          <w:b/>
          <w:sz w:val="28"/>
          <w:szCs w:val="24"/>
          <w:lang w:val="es-ES"/>
        </w:rPr>
        <w:t>uso extensivo y lo más amplio</w:t>
      </w:r>
      <w:r>
        <w:rPr>
          <w:rFonts w:asciiTheme="minorHAnsi" w:hAnsiTheme="minorHAnsi" w:cstheme="minorHAnsi"/>
          <w:b/>
          <w:sz w:val="28"/>
          <w:szCs w:val="24"/>
          <w:lang w:val="es-ES"/>
        </w:rPr>
        <w:t xml:space="preserve"> y completo</w:t>
      </w:r>
      <w:r w:rsidRPr="00C073DB">
        <w:rPr>
          <w:rFonts w:asciiTheme="minorHAnsi" w:hAnsiTheme="minorHAnsi" w:cstheme="minorHAnsi"/>
          <w:b/>
          <w:sz w:val="28"/>
          <w:szCs w:val="24"/>
          <w:lang w:val="es-ES"/>
        </w:rPr>
        <w:t xml:space="preserve"> posible</w:t>
      </w:r>
      <w:r>
        <w:rPr>
          <w:rFonts w:asciiTheme="minorHAnsi" w:hAnsiTheme="minorHAnsi" w:cstheme="minorHAnsi"/>
          <w:sz w:val="28"/>
          <w:szCs w:val="24"/>
          <w:lang w:val="es-ES"/>
        </w:rPr>
        <w:t xml:space="preserve"> del apartado concreto del Formulario de Valoración que el Sistema VioGén pone a su disposición en el proceso de justificación de elevación del riesgo al alza, (capacidad máxima 4.000 caracteres), concretamente: </w:t>
      </w:r>
    </w:p>
    <w:p w:rsidR="0037294E" w:rsidRDefault="0037294E" w:rsidP="0037294E">
      <w:pPr>
        <w:spacing w:before="120" w:after="120"/>
        <w:ind w:right="332"/>
        <w:jc w:val="both"/>
        <w:rPr>
          <w:rFonts w:asciiTheme="minorHAnsi" w:hAnsiTheme="minorHAnsi" w:cstheme="minorHAnsi"/>
          <w:sz w:val="28"/>
          <w:szCs w:val="24"/>
          <w:lang w:val="es-ES"/>
        </w:rPr>
      </w:pPr>
      <w:r>
        <w:rPr>
          <w:rFonts w:asciiTheme="minorHAnsi" w:hAnsiTheme="minorHAnsi" w:cstheme="minorHAnsi"/>
          <w:noProof/>
          <w:snapToGrid/>
          <w:sz w:val="28"/>
          <w:szCs w:val="24"/>
          <w:lang w:val="es-ES"/>
        </w:rPr>
        <w:drawing>
          <wp:inline distT="0" distB="0" distL="0" distR="0">
            <wp:extent cx="6012180" cy="59436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180" cy="594360"/>
                    </a:xfrm>
                    <a:prstGeom prst="rect">
                      <a:avLst/>
                    </a:prstGeom>
                    <a:noFill/>
                    <a:ln>
                      <a:noFill/>
                    </a:ln>
                  </pic:spPr>
                </pic:pic>
              </a:graphicData>
            </a:graphic>
          </wp:inline>
        </w:drawing>
      </w:r>
    </w:p>
    <w:p w:rsidR="0037294E" w:rsidRDefault="0037294E" w:rsidP="0037294E">
      <w:pPr>
        <w:spacing w:before="120" w:after="120"/>
        <w:ind w:right="332"/>
        <w:jc w:val="both"/>
        <w:rPr>
          <w:rFonts w:asciiTheme="minorHAnsi" w:hAnsiTheme="minorHAnsi" w:cstheme="minorHAnsi"/>
          <w:color w:val="4F81BD" w:themeColor="accent1"/>
          <w:sz w:val="28"/>
          <w:szCs w:val="24"/>
          <w:lang w:val="es-ES"/>
        </w:rPr>
      </w:pPr>
      <w:r>
        <w:rPr>
          <w:rFonts w:asciiTheme="minorHAnsi" w:hAnsiTheme="minorHAnsi" w:cstheme="minorHAnsi"/>
          <w:noProof/>
          <w:snapToGrid/>
          <w:color w:val="4F81BD" w:themeColor="accent1"/>
          <w:sz w:val="28"/>
          <w:szCs w:val="24"/>
          <w:lang w:val="es-ES"/>
        </w:rPr>
        <w:lastRenderedPageBreak/>
        <w:drawing>
          <wp:inline distT="0" distB="0" distL="0" distR="0">
            <wp:extent cx="6012180" cy="22174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180" cy="2217420"/>
                    </a:xfrm>
                    <a:prstGeom prst="rect">
                      <a:avLst/>
                    </a:prstGeom>
                    <a:noFill/>
                    <a:ln>
                      <a:noFill/>
                    </a:ln>
                  </pic:spPr>
                </pic:pic>
              </a:graphicData>
            </a:graphic>
          </wp:inline>
        </w:drawing>
      </w:r>
    </w:p>
    <w:p w:rsidR="005B4245" w:rsidRDefault="005B4245" w:rsidP="0037294E">
      <w:pPr>
        <w:spacing w:before="120" w:after="120"/>
        <w:ind w:left="142" w:right="332"/>
        <w:jc w:val="center"/>
        <w:rPr>
          <w:rFonts w:asciiTheme="minorHAnsi" w:hAnsiTheme="minorHAnsi" w:cstheme="minorHAnsi"/>
          <w:b/>
          <w:color w:val="C0504D" w:themeColor="accent2"/>
          <w:sz w:val="28"/>
          <w:szCs w:val="24"/>
          <w:lang w:val="es-ES"/>
        </w:rPr>
      </w:pPr>
    </w:p>
    <w:p w:rsidR="0037294E" w:rsidRDefault="0037294E" w:rsidP="0037294E">
      <w:pPr>
        <w:spacing w:before="120" w:after="120"/>
        <w:ind w:left="142" w:right="332"/>
        <w:jc w:val="center"/>
        <w:rPr>
          <w:rFonts w:asciiTheme="minorHAnsi" w:hAnsiTheme="minorHAnsi" w:cstheme="minorHAnsi"/>
          <w:b/>
          <w:color w:val="C0504D" w:themeColor="accent2"/>
          <w:sz w:val="28"/>
          <w:szCs w:val="24"/>
          <w:lang w:val="es-ES"/>
        </w:rPr>
      </w:pPr>
      <w:r>
        <w:rPr>
          <w:rFonts w:asciiTheme="minorHAnsi" w:hAnsiTheme="minorHAnsi" w:cstheme="minorHAnsi"/>
          <w:b/>
          <w:color w:val="C0504D" w:themeColor="accent2"/>
          <w:sz w:val="28"/>
          <w:szCs w:val="24"/>
          <w:lang w:val="es-ES"/>
        </w:rPr>
        <w:t>RECHAZO A LA PROTECCIÓN, TRATAMIENTO DE CASOS CON VÍCTIMAS NO COLABORATIVAS Y COORDINACIÓN DE ACTUACIONES ENTRE FFCCS Y FISCALÍA</w:t>
      </w:r>
      <w:r w:rsidRPr="001B462D">
        <w:rPr>
          <w:rFonts w:asciiTheme="minorHAnsi" w:hAnsiTheme="minorHAnsi" w:cstheme="minorHAnsi"/>
          <w:b/>
          <w:color w:val="C0504D" w:themeColor="accent2"/>
          <w:sz w:val="28"/>
          <w:szCs w:val="24"/>
          <w:lang w:val="es-ES"/>
        </w:rPr>
        <w:t>.</w:t>
      </w:r>
    </w:p>
    <w:p w:rsidR="0037294E" w:rsidRDefault="0037294E" w:rsidP="0037294E">
      <w:pPr>
        <w:spacing w:before="120" w:after="120"/>
        <w:ind w:left="142" w:right="332"/>
        <w:jc w:val="center"/>
        <w:rPr>
          <w:rFonts w:asciiTheme="minorHAnsi" w:hAnsiTheme="minorHAnsi" w:cstheme="minorHAnsi"/>
          <w:b/>
          <w:color w:val="C0504D" w:themeColor="accent2"/>
          <w:sz w:val="28"/>
          <w:szCs w:val="24"/>
          <w:lang w:val="es-ES"/>
        </w:rPr>
      </w:pPr>
    </w:p>
    <w:p w:rsidR="0037294E" w:rsidRDefault="0037294E" w:rsidP="0037294E">
      <w:pPr>
        <w:spacing w:before="120" w:after="120"/>
        <w:ind w:left="142" w:right="332"/>
        <w:jc w:val="both"/>
        <w:rPr>
          <w:rFonts w:asciiTheme="minorHAnsi" w:hAnsiTheme="minorHAnsi" w:cstheme="minorHAnsi"/>
          <w:sz w:val="28"/>
          <w:szCs w:val="24"/>
          <w:lang w:val="es-ES"/>
        </w:rPr>
      </w:pPr>
      <w:r>
        <w:rPr>
          <w:rFonts w:asciiTheme="minorHAnsi" w:hAnsiTheme="minorHAnsi" w:cstheme="minorHAnsi"/>
          <w:sz w:val="28"/>
          <w:szCs w:val="24"/>
          <w:lang w:val="es-ES"/>
        </w:rPr>
        <w:t>El rechazo de muchas víctimas al contacto policial e incluso a la protección es un hecho que se da con cierta habitualidad</w:t>
      </w:r>
      <w:r w:rsidR="009C3EA7">
        <w:rPr>
          <w:rFonts w:asciiTheme="minorHAnsi" w:hAnsiTheme="minorHAnsi" w:cstheme="minorHAnsi"/>
          <w:sz w:val="28"/>
          <w:szCs w:val="24"/>
          <w:lang w:val="es-ES"/>
        </w:rPr>
        <w:t>,</w:t>
      </w:r>
      <w:r>
        <w:rPr>
          <w:rFonts w:asciiTheme="minorHAnsi" w:hAnsiTheme="minorHAnsi" w:cstheme="minorHAnsi"/>
          <w:sz w:val="28"/>
          <w:szCs w:val="24"/>
          <w:lang w:val="es-ES"/>
        </w:rPr>
        <w:t xml:space="preserve"> perjudicando seriamente el correcto seguimiento de los Casos, así como la tarea de hacer respetar el cumplimiento de Medidas Judiciales dictadas como órdenes de protección o medidas de alejamiento.</w:t>
      </w:r>
    </w:p>
    <w:p w:rsidR="0037294E" w:rsidRPr="006F3EF8" w:rsidRDefault="0037294E" w:rsidP="0037294E">
      <w:pPr>
        <w:spacing w:before="120" w:after="120"/>
        <w:ind w:left="142" w:right="332"/>
        <w:jc w:val="both"/>
        <w:rPr>
          <w:rFonts w:asciiTheme="minorHAnsi" w:hAnsiTheme="minorHAnsi" w:cstheme="minorHAnsi"/>
          <w:sz w:val="28"/>
          <w:szCs w:val="24"/>
          <w:lang w:val="es-ES"/>
        </w:rPr>
      </w:pPr>
      <w:r w:rsidRPr="006F3EF8">
        <w:rPr>
          <w:rFonts w:asciiTheme="minorHAnsi" w:hAnsiTheme="minorHAnsi" w:cstheme="minorHAnsi"/>
          <w:sz w:val="28"/>
          <w:szCs w:val="24"/>
          <w:lang w:val="es-ES"/>
        </w:rPr>
        <w:t xml:space="preserve">La Instrucción 4/2019 de 13 de Marzo, </w:t>
      </w:r>
      <w:r w:rsidR="009C3EA7" w:rsidRPr="006F3EF8">
        <w:rPr>
          <w:rFonts w:asciiTheme="minorHAnsi" w:hAnsiTheme="minorHAnsi" w:cstheme="minorHAnsi"/>
          <w:sz w:val="28"/>
          <w:szCs w:val="24"/>
          <w:lang w:val="es-ES"/>
        </w:rPr>
        <w:t xml:space="preserve">aun </w:t>
      </w:r>
      <w:r w:rsidRPr="006F3EF8">
        <w:rPr>
          <w:rFonts w:asciiTheme="minorHAnsi" w:hAnsiTheme="minorHAnsi" w:cstheme="minorHAnsi"/>
          <w:sz w:val="28"/>
          <w:szCs w:val="24"/>
          <w:lang w:val="es-ES"/>
        </w:rPr>
        <w:t>siendo un documento interno del Ministerio del Interior que p</w:t>
      </w:r>
      <w:r w:rsidR="009C3EA7" w:rsidRPr="006F3EF8">
        <w:rPr>
          <w:rFonts w:asciiTheme="minorHAnsi" w:hAnsiTheme="minorHAnsi" w:cstheme="minorHAnsi"/>
          <w:sz w:val="28"/>
          <w:szCs w:val="24"/>
          <w:lang w:val="es-ES"/>
        </w:rPr>
        <w:t>or tanto sólo vincula a FFCCS, s</w:t>
      </w:r>
      <w:r w:rsidRPr="006F3EF8">
        <w:rPr>
          <w:rFonts w:asciiTheme="minorHAnsi" w:hAnsiTheme="minorHAnsi" w:cstheme="minorHAnsi"/>
          <w:sz w:val="28"/>
          <w:szCs w:val="24"/>
          <w:lang w:val="es-ES"/>
        </w:rPr>
        <w:t>u contenido</w:t>
      </w:r>
      <w:r w:rsidR="006F3EF8" w:rsidRPr="006F3EF8">
        <w:rPr>
          <w:rFonts w:asciiTheme="minorHAnsi" w:hAnsiTheme="minorHAnsi" w:cstheme="minorHAnsi"/>
          <w:sz w:val="28"/>
          <w:szCs w:val="24"/>
          <w:lang w:val="es-ES"/>
        </w:rPr>
        <w:t>, antes de su aprobación,</w:t>
      </w:r>
      <w:r w:rsidRPr="006F3EF8">
        <w:rPr>
          <w:rFonts w:asciiTheme="minorHAnsi" w:hAnsiTheme="minorHAnsi" w:cstheme="minorHAnsi"/>
          <w:sz w:val="28"/>
          <w:szCs w:val="24"/>
          <w:lang w:val="es-ES"/>
        </w:rPr>
        <w:t xml:space="preserve"> fu</w:t>
      </w:r>
      <w:r w:rsidR="009C3EA7" w:rsidRPr="006F3EF8">
        <w:rPr>
          <w:rFonts w:asciiTheme="minorHAnsi" w:hAnsiTheme="minorHAnsi" w:cstheme="minorHAnsi"/>
          <w:sz w:val="28"/>
          <w:szCs w:val="24"/>
          <w:lang w:val="es-ES"/>
        </w:rPr>
        <w:t xml:space="preserve">e dado a conocer </w:t>
      </w:r>
      <w:r w:rsidRPr="006F3EF8">
        <w:rPr>
          <w:rFonts w:asciiTheme="minorHAnsi" w:hAnsiTheme="minorHAnsi" w:cstheme="minorHAnsi"/>
          <w:sz w:val="28"/>
          <w:szCs w:val="24"/>
          <w:lang w:val="es-ES"/>
        </w:rPr>
        <w:t>tanto a Fiscalía como a Ministerio de Justicia, siempre buscando una adecuada coordinación de a</w:t>
      </w:r>
      <w:r w:rsidR="009C3EA7" w:rsidRPr="006F3EF8">
        <w:rPr>
          <w:rFonts w:asciiTheme="minorHAnsi" w:hAnsiTheme="minorHAnsi" w:cstheme="minorHAnsi"/>
          <w:sz w:val="28"/>
          <w:szCs w:val="24"/>
          <w:lang w:val="es-ES"/>
        </w:rPr>
        <w:t>ctuaciones en relación con los c</w:t>
      </w:r>
      <w:r w:rsidRPr="006F3EF8">
        <w:rPr>
          <w:rFonts w:asciiTheme="minorHAnsi" w:hAnsiTheme="minorHAnsi" w:cstheme="minorHAnsi"/>
          <w:sz w:val="28"/>
          <w:szCs w:val="24"/>
          <w:lang w:val="es-ES"/>
        </w:rPr>
        <w:t xml:space="preserve">asos de Violencia de Género. </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Pr="006F3EF8" w:rsidRDefault="002E61CF" w:rsidP="0037294E">
      <w:pPr>
        <w:spacing w:before="120" w:after="120"/>
        <w:ind w:left="142" w:right="332"/>
        <w:jc w:val="both"/>
        <w:rPr>
          <w:rFonts w:asciiTheme="minorHAnsi" w:hAnsiTheme="minorHAnsi" w:cstheme="minorHAnsi"/>
          <w:sz w:val="28"/>
          <w:szCs w:val="24"/>
          <w:u w:val="single"/>
          <w:lang w:val="es-ES"/>
        </w:rPr>
      </w:pPr>
      <w:r>
        <w:rPr>
          <w:rFonts w:asciiTheme="minorHAnsi" w:hAnsiTheme="minorHAnsi" w:cstheme="minorHAnsi"/>
          <w:sz w:val="28"/>
          <w:szCs w:val="24"/>
          <w:lang w:val="es-ES"/>
        </w:rPr>
        <w:t>La Instrucción 4/2019</w:t>
      </w:r>
      <w:r w:rsidR="0037294E" w:rsidRPr="00E235D6">
        <w:rPr>
          <w:rFonts w:asciiTheme="minorHAnsi" w:hAnsiTheme="minorHAnsi" w:cstheme="minorHAnsi"/>
          <w:b/>
          <w:sz w:val="28"/>
          <w:szCs w:val="24"/>
          <w:u w:val="single"/>
          <w:lang w:val="es-ES"/>
        </w:rPr>
        <w:t>SÓLO prevé la INACTIVACIÓN</w:t>
      </w:r>
      <w:r w:rsidR="0037294E">
        <w:rPr>
          <w:rFonts w:asciiTheme="minorHAnsi" w:hAnsiTheme="minorHAnsi" w:cstheme="minorHAnsi"/>
          <w:sz w:val="28"/>
          <w:szCs w:val="24"/>
          <w:lang w:val="es-ES"/>
        </w:rPr>
        <w:t xml:space="preserve"> de Casos en el Sistema VioGén, cuando se constate la renuncia voluntaria, manifiesta y reiterada de la víctima a su protección, y</w:t>
      </w:r>
      <w:r w:rsidR="0037294E">
        <w:rPr>
          <w:rFonts w:asciiTheme="minorHAnsi" w:hAnsiTheme="minorHAnsi" w:cstheme="minorHAnsi"/>
          <w:b/>
          <w:sz w:val="28"/>
          <w:szCs w:val="24"/>
          <w:u w:val="single"/>
          <w:lang w:val="es-ES"/>
        </w:rPr>
        <w:t xml:space="preserve"> NO cuenten</w:t>
      </w:r>
      <w:r w:rsidR="0037294E" w:rsidRPr="00E235D6">
        <w:rPr>
          <w:rFonts w:asciiTheme="minorHAnsi" w:hAnsiTheme="minorHAnsi" w:cstheme="minorHAnsi"/>
          <w:b/>
          <w:sz w:val="28"/>
          <w:szCs w:val="24"/>
          <w:u w:val="single"/>
          <w:lang w:val="es-ES"/>
        </w:rPr>
        <w:t xml:space="preserve"> con Medidas Judiciales/Orden de protección en vigor</w:t>
      </w:r>
      <w:r w:rsidR="0037294E">
        <w:rPr>
          <w:rFonts w:asciiTheme="minorHAnsi" w:hAnsiTheme="minorHAnsi" w:cstheme="minorHAnsi"/>
          <w:sz w:val="28"/>
          <w:szCs w:val="24"/>
          <w:lang w:val="es-ES"/>
        </w:rPr>
        <w:t xml:space="preserve">. </w:t>
      </w:r>
      <w:r w:rsidR="0037294E" w:rsidRPr="006F3EF8">
        <w:rPr>
          <w:rFonts w:asciiTheme="minorHAnsi" w:hAnsiTheme="minorHAnsi" w:cstheme="minorHAnsi"/>
          <w:sz w:val="28"/>
          <w:szCs w:val="24"/>
          <w:u w:val="single"/>
          <w:lang w:val="es-ES"/>
        </w:rPr>
        <w:t xml:space="preserve">Si el Caso cuenta con Medidas Judiciales, no podrá INACTIVARSE </w:t>
      </w:r>
      <w:r w:rsidR="0037294E" w:rsidRPr="006F3EF8">
        <w:rPr>
          <w:rFonts w:asciiTheme="minorHAnsi" w:hAnsiTheme="minorHAnsi" w:cstheme="minorHAnsi"/>
          <w:b/>
          <w:sz w:val="28"/>
          <w:szCs w:val="24"/>
          <w:u w:val="single"/>
          <w:lang w:val="es-ES"/>
        </w:rPr>
        <w:t>por la concurrencia única de los motivos citados.</w:t>
      </w:r>
    </w:p>
    <w:p w:rsidR="0037294E" w:rsidRDefault="0037294E" w:rsidP="0037294E">
      <w:pPr>
        <w:spacing w:before="120" w:after="120"/>
        <w:ind w:left="142" w:right="332"/>
        <w:jc w:val="both"/>
        <w:rPr>
          <w:rFonts w:asciiTheme="minorHAnsi" w:hAnsiTheme="minorHAnsi" w:cstheme="minorHAnsi"/>
          <w:sz w:val="28"/>
          <w:szCs w:val="24"/>
          <w:lang w:val="es-ES"/>
        </w:rPr>
      </w:pPr>
    </w:p>
    <w:p w:rsidR="006F3EF8" w:rsidRDefault="006F3EF8" w:rsidP="005B4245">
      <w:pPr>
        <w:widowControl/>
        <w:rPr>
          <w:rFonts w:asciiTheme="minorHAnsi" w:hAnsiTheme="minorHAnsi" w:cstheme="minorHAnsi"/>
          <w:sz w:val="28"/>
          <w:szCs w:val="24"/>
          <w:lang w:val="es-ES"/>
        </w:rPr>
      </w:pPr>
    </w:p>
    <w:p w:rsidR="006F3EF8" w:rsidRDefault="006F3EF8" w:rsidP="005B4245">
      <w:pPr>
        <w:widowControl/>
        <w:rPr>
          <w:rFonts w:asciiTheme="minorHAnsi" w:hAnsiTheme="minorHAnsi" w:cstheme="minorHAnsi"/>
          <w:sz w:val="28"/>
          <w:szCs w:val="24"/>
          <w:lang w:val="es-ES"/>
        </w:rPr>
      </w:pPr>
    </w:p>
    <w:p w:rsidR="0037294E" w:rsidRDefault="0037294E" w:rsidP="006F3EF8">
      <w:pPr>
        <w:widowControl/>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La Instrucción establece así mismo, con carácter general, para TODOS los Casos VdG en los que se constate una víctima no colaborativa, </w:t>
      </w:r>
      <w:r w:rsidR="006F3EF8">
        <w:rPr>
          <w:rFonts w:asciiTheme="minorHAnsi" w:hAnsiTheme="minorHAnsi" w:cstheme="minorHAnsi"/>
          <w:sz w:val="28"/>
          <w:szCs w:val="24"/>
          <w:lang w:val="es-ES"/>
        </w:rPr>
        <w:t xml:space="preserve">exista o no exista Orden de Protección, </w:t>
      </w:r>
      <w:r>
        <w:rPr>
          <w:rFonts w:asciiTheme="minorHAnsi" w:hAnsiTheme="minorHAnsi" w:cstheme="minorHAnsi"/>
          <w:sz w:val="28"/>
          <w:szCs w:val="24"/>
          <w:lang w:val="es-ES"/>
        </w:rPr>
        <w:t>el desarrollo de las siguientes actuaciones:</w:t>
      </w:r>
    </w:p>
    <w:p w:rsidR="0037294E" w:rsidRDefault="0037294E" w:rsidP="0037294E">
      <w:pPr>
        <w:spacing w:before="120" w:after="120"/>
        <w:ind w:left="142" w:right="332"/>
        <w:jc w:val="both"/>
        <w:rPr>
          <w:rFonts w:asciiTheme="minorHAnsi" w:hAnsiTheme="minorHAnsi" w:cstheme="minorHAnsi"/>
          <w:sz w:val="28"/>
          <w:szCs w:val="24"/>
          <w:lang w:val="es-ES"/>
        </w:rPr>
      </w:pPr>
    </w:p>
    <w:p w:rsidR="0037294E" w:rsidRPr="002E61CF" w:rsidRDefault="0037294E" w:rsidP="0037294E">
      <w:pPr>
        <w:pStyle w:val="Prrafodelista"/>
        <w:numPr>
          <w:ilvl w:val="0"/>
          <w:numId w:val="1"/>
        </w:numPr>
        <w:spacing w:before="120" w:after="120"/>
        <w:ind w:right="332"/>
        <w:jc w:val="both"/>
        <w:rPr>
          <w:rFonts w:asciiTheme="minorHAnsi" w:hAnsiTheme="minorHAnsi" w:cstheme="minorHAnsi"/>
          <w:sz w:val="28"/>
          <w:szCs w:val="24"/>
          <w:u w:val="single"/>
          <w:lang w:val="es-ES"/>
        </w:rPr>
      </w:pPr>
      <w:r w:rsidRPr="002E61CF">
        <w:rPr>
          <w:rFonts w:asciiTheme="minorHAnsi" w:hAnsiTheme="minorHAnsi" w:cstheme="minorHAnsi"/>
          <w:sz w:val="28"/>
          <w:szCs w:val="24"/>
          <w:lang w:val="es-ES"/>
        </w:rPr>
        <w:t xml:space="preserve">Deber de informar detalladamente de los extremos referidos (renuncia expresa, reiterada y manifiesta y/o acciones adoptadas por la víctima que dificultan e incluso imposibilitan la protección) a la </w:t>
      </w:r>
      <w:r w:rsidRPr="002E61CF">
        <w:rPr>
          <w:rFonts w:asciiTheme="minorHAnsi" w:hAnsiTheme="minorHAnsi" w:cstheme="minorHAnsi"/>
          <w:sz w:val="28"/>
          <w:szCs w:val="24"/>
          <w:u w:val="single"/>
          <w:lang w:val="es-ES"/>
        </w:rPr>
        <w:t>Autoridad Judicial y Fiscal a los efectos oportunos.</w:t>
      </w:r>
    </w:p>
    <w:p w:rsidR="0037294E" w:rsidRPr="002E61CF"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sidRPr="002E61CF">
        <w:rPr>
          <w:rFonts w:asciiTheme="minorHAnsi" w:hAnsiTheme="minorHAnsi" w:cstheme="minorHAnsi"/>
          <w:sz w:val="28"/>
          <w:szCs w:val="24"/>
          <w:lang w:val="es-ES"/>
        </w:rPr>
        <w:t>Deber de promover que entren en contacto con la víctima instituciones de asistencia y asesoramiento tales como: oficinas de atención a víctimas del delito (ámbito Justicia) o servicios sociales y asistenciales.</w:t>
      </w:r>
    </w:p>
    <w:p w:rsidR="006F3EF8" w:rsidRDefault="006F3EF8" w:rsidP="0037294E">
      <w:pPr>
        <w:spacing w:before="120" w:after="120"/>
        <w:ind w:right="332"/>
        <w:jc w:val="both"/>
        <w:rPr>
          <w:rFonts w:asciiTheme="minorHAnsi" w:hAnsiTheme="minorHAnsi" w:cstheme="minorHAnsi"/>
          <w:sz w:val="28"/>
          <w:szCs w:val="24"/>
          <w:lang w:val="es-ES"/>
        </w:rPr>
      </w:pPr>
    </w:p>
    <w:p w:rsidR="0037294E" w:rsidRDefault="0037294E" w:rsidP="0037294E">
      <w:p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En este punto, </w:t>
      </w:r>
      <w:r w:rsidRPr="006F3EF8">
        <w:rPr>
          <w:rFonts w:asciiTheme="minorHAnsi" w:hAnsiTheme="minorHAnsi" w:cstheme="minorHAnsi"/>
          <w:b/>
          <w:sz w:val="28"/>
          <w:szCs w:val="24"/>
          <w:u w:val="single"/>
          <w:lang w:val="es-ES"/>
        </w:rPr>
        <w:t>tras la reunión mantenida con Fiscalía se acuerda:</w:t>
      </w:r>
    </w:p>
    <w:p w:rsidR="0037294E" w:rsidRDefault="0037294E" w:rsidP="0037294E">
      <w:pPr>
        <w:spacing w:before="120" w:after="120"/>
        <w:ind w:right="332"/>
        <w:jc w:val="both"/>
        <w:rPr>
          <w:rFonts w:asciiTheme="minorHAnsi" w:hAnsiTheme="minorHAnsi" w:cstheme="minorHAnsi"/>
          <w:sz w:val="28"/>
          <w:szCs w:val="24"/>
          <w:lang w:val="es-ES"/>
        </w:rPr>
      </w:pPr>
    </w:p>
    <w:p w:rsidR="0037294E"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Recordar la necesidad de que los agentes de FFCCS den cumplimiento a lo establecido en la Instrucción 4/2019 en relación con los Casos que </w:t>
      </w:r>
      <w:r w:rsidRPr="002E61CF">
        <w:rPr>
          <w:rFonts w:asciiTheme="minorHAnsi" w:hAnsiTheme="minorHAnsi" w:cstheme="minorHAnsi"/>
          <w:sz w:val="28"/>
          <w:szCs w:val="24"/>
          <w:u w:val="single"/>
          <w:lang w:val="es-ES"/>
        </w:rPr>
        <w:t xml:space="preserve">presentan </w:t>
      </w:r>
      <w:r w:rsidR="002E61CF" w:rsidRPr="002E61CF">
        <w:rPr>
          <w:rFonts w:asciiTheme="minorHAnsi" w:hAnsiTheme="minorHAnsi" w:cstheme="minorHAnsi"/>
          <w:sz w:val="28"/>
          <w:szCs w:val="24"/>
          <w:u w:val="single"/>
          <w:lang w:val="es-ES"/>
        </w:rPr>
        <w:t>circunstancias que dificultan o imposibilita la protección, en especial aquellos que cuentan con Medidas Judiciales en vigor</w:t>
      </w:r>
      <w:r w:rsidR="002E61CF">
        <w:rPr>
          <w:rFonts w:asciiTheme="minorHAnsi" w:hAnsiTheme="minorHAnsi" w:cstheme="minorHAnsi"/>
          <w:sz w:val="28"/>
          <w:szCs w:val="24"/>
          <w:lang w:val="es-ES"/>
        </w:rPr>
        <w:t>.</w:t>
      </w:r>
    </w:p>
    <w:p w:rsidR="006F3EF8" w:rsidRDefault="006F3EF8" w:rsidP="006F3EF8">
      <w:pPr>
        <w:pStyle w:val="Prrafodelista"/>
        <w:spacing w:before="120" w:after="120"/>
        <w:ind w:left="720" w:right="332"/>
        <w:jc w:val="both"/>
        <w:rPr>
          <w:rFonts w:asciiTheme="minorHAnsi" w:hAnsiTheme="minorHAnsi" w:cstheme="minorHAnsi"/>
          <w:sz w:val="28"/>
          <w:szCs w:val="24"/>
          <w:lang w:val="es-ES"/>
        </w:rPr>
      </w:pPr>
    </w:p>
    <w:p w:rsidR="0037294E" w:rsidRPr="00A95539"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Recordar la obligatoriedad genérica para FFCCS en lo relativo a preservar el respeto y cumplimiento de las decisiones judiciales, (incluyendo Medidas cautelares ya sean órdenes de protección/medidas de alejamiento) y en todo caso a comunicar a Autoridad Judicial y Fiscal, de forma detallada, las incidencias, dificultades o imposibilidades que detecten en relación con dicha tarea.</w:t>
      </w:r>
    </w:p>
    <w:p w:rsidR="0037294E" w:rsidRDefault="0037294E" w:rsidP="0037294E">
      <w:pPr>
        <w:widowControl/>
        <w:rPr>
          <w:rFonts w:asciiTheme="minorHAnsi" w:hAnsiTheme="minorHAnsi" w:cstheme="minorHAnsi"/>
          <w:sz w:val="28"/>
          <w:szCs w:val="24"/>
          <w:lang w:val="es-ES"/>
        </w:rPr>
      </w:pPr>
      <w:r>
        <w:rPr>
          <w:rFonts w:asciiTheme="minorHAnsi" w:hAnsiTheme="minorHAnsi" w:cstheme="minorHAnsi"/>
          <w:sz w:val="28"/>
          <w:szCs w:val="24"/>
          <w:lang w:val="es-ES"/>
        </w:rPr>
        <w:br w:type="page"/>
      </w:r>
    </w:p>
    <w:p w:rsidR="0037294E" w:rsidRPr="001B462D" w:rsidRDefault="0037294E" w:rsidP="0037294E">
      <w:pPr>
        <w:spacing w:before="120" w:after="120"/>
        <w:ind w:left="142" w:right="332"/>
        <w:jc w:val="center"/>
        <w:rPr>
          <w:rFonts w:asciiTheme="minorHAnsi" w:hAnsiTheme="minorHAnsi" w:cstheme="minorHAnsi"/>
          <w:b/>
          <w:color w:val="C0504D" w:themeColor="accent2"/>
          <w:sz w:val="28"/>
          <w:szCs w:val="24"/>
          <w:lang w:val="es-ES"/>
        </w:rPr>
      </w:pPr>
      <w:r>
        <w:rPr>
          <w:rFonts w:asciiTheme="minorHAnsi" w:hAnsiTheme="minorHAnsi" w:cstheme="minorHAnsi"/>
          <w:b/>
          <w:color w:val="C0504D" w:themeColor="accent2"/>
          <w:sz w:val="28"/>
          <w:szCs w:val="24"/>
          <w:lang w:val="es-ES"/>
        </w:rPr>
        <w:lastRenderedPageBreak/>
        <w:t>OTRAS CUESTIONES IMPORTANTES PARA MEJOR COORDINACION ENTRE FISCALÍA Y FFCCS EN CASOS VdG</w:t>
      </w:r>
      <w:r w:rsidRPr="001B462D">
        <w:rPr>
          <w:rFonts w:asciiTheme="minorHAnsi" w:hAnsiTheme="minorHAnsi" w:cstheme="minorHAnsi"/>
          <w:b/>
          <w:color w:val="C0504D" w:themeColor="accent2"/>
          <w:sz w:val="28"/>
          <w:szCs w:val="24"/>
          <w:lang w:val="es-ES"/>
        </w:rPr>
        <w:t>.</w:t>
      </w:r>
    </w:p>
    <w:p w:rsidR="0037294E" w:rsidRDefault="0037294E" w:rsidP="0037294E">
      <w:pPr>
        <w:spacing w:before="120" w:after="120"/>
        <w:ind w:right="332"/>
        <w:jc w:val="both"/>
        <w:rPr>
          <w:rFonts w:asciiTheme="minorHAnsi" w:hAnsiTheme="minorHAnsi" w:cstheme="minorHAnsi"/>
          <w:b/>
          <w:sz w:val="28"/>
          <w:szCs w:val="24"/>
          <w:lang w:val="es-ES"/>
        </w:rPr>
      </w:pPr>
    </w:p>
    <w:p w:rsidR="0037294E" w:rsidRPr="006F3EF8" w:rsidRDefault="006F3EF8" w:rsidP="0037294E">
      <w:pPr>
        <w:spacing w:before="120" w:after="120"/>
        <w:ind w:right="332"/>
        <w:jc w:val="both"/>
        <w:rPr>
          <w:rFonts w:asciiTheme="minorHAnsi" w:hAnsiTheme="minorHAnsi" w:cstheme="minorHAnsi"/>
          <w:b/>
          <w:sz w:val="28"/>
          <w:szCs w:val="24"/>
          <w:u w:val="single"/>
          <w:lang w:val="es-ES"/>
        </w:rPr>
      </w:pPr>
      <w:r w:rsidRPr="006F3EF8">
        <w:rPr>
          <w:rFonts w:asciiTheme="minorHAnsi" w:hAnsiTheme="minorHAnsi" w:cstheme="minorHAnsi"/>
          <w:b/>
          <w:sz w:val="28"/>
          <w:szCs w:val="24"/>
          <w:u w:val="single"/>
          <w:lang w:val="es-ES"/>
        </w:rPr>
        <w:t xml:space="preserve">Tras la reunión mantenida se acuerda </w:t>
      </w:r>
      <w:r w:rsidR="0037294E" w:rsidRPr="006F3EF8">
        <w:rPr>
          <w:rFonts w:asciiTheme="minorHAnsi" w:hAnsiTheme="minorHAnsi" w:cstheme="minorHAnsi"/>
          <w:b/>
          <w:sz w:val="28"/>
          <w:szCs w:val="24"/>
          <w:u w:val="single"/>
          <w:lang w:val="es-ES"/>
        </w:rPr>
        <w:t>incidir en la importancia de que:</w:t>
      </w:r>
    </w:p>
    <w:p w:rsidR="0037294E" w:rsidRDefault="0037294E" w:rsidP="0037294E">
      <w:pPr>
        <w:spacing w:before="120" w:after="120"/>
        <w:ind w:right="332"/>
        <w:jc w:val="both"/>
        <w:rPr>
          <w:rFonts w:asciiTheme="minorHAnsi" w:hAnsiTheme="minorHAnsi" w:cstheme="minorHAnsi"/>
          <w:sz w:val="28"/>
          <w:szCs w:val="24"/>
          <w:lang w:val="es-ES"/>
        </w:rPr>
      </w:pPr>
    </w:p>
    <w:p w:rsidR="0037294E"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sidRPr="00262005">
        <w:rPr>
          <w:rFonts w:asciiTheme="minorHAnsi" w:hAnsiTheme="minorHAnsi" w:cstheme="minorHAnsi"/>
          <w:b/>
          <w:sz w:val="28"/>
          <w:szCs w:val="24"/>
          <w:lang w:val="es-ES"/>
        </w:rPr>
        <w:t>FFCCS incluyan en el Sistema VioGén los Atestados policiales</w:t>
      </w:r>
      <w:r w:rsidR="00FE2DBA">
        <w:rPr>
          <w:rFonts w:asciiTheme="minorHAnsi" w:hAnsiTheme="minorHAnsi" w:cstheme="minorHAnsi"/>
          <w:b/>
          <w:sz w:val="28"/>
          <w:szCs w:val="24"/>
          <w:lang w:val="es-ES"/>
        </w:rPr>
        <w:t xml:space="preserve">, </w:t>
      </w:r>
      <w:r w:rsidRPr="00262005">
        <w:rPr>
          <w:rFonts w:asciiTheme="minorHAnsi" w:hAnsiTheme="minorHAnsi" w:cstheme="minorHAnsi"/>
          <w:b/>
          <w:sz w:val="28"/>
          <w:szCs w:val="24"/>
          <w:lang w:val="es-ES"/>
        </w:rPr>
        <w:t>Oficios</w:t>
      </w:r>
      <w:r w:rsidR="00FE2DBA">
        <w:rPr>
          <w:rFonts w:asciiTheme="minorHAnsi" w:hAnsiTheme="minorHAnsi" w:cstheme="minorHAnsi"/>
          <w:b/>
          <w:sz w:val="28"/>
          <w:szCs w:val="24"/>
          <w:lang w:val="es-ES"/>
        </w:rPr>
        <w:t xml:space="preserve"> y documentos de interés</w:t>
      </w:r>
      <w:r w:rsidRPr="00262005">
        <w:rPr>
          <w:rFonts w:asciiTheme="minorHAnsi" w:hAnsiTheme="minorHAnsi" w:cstheme="minorHAnsi"/>
          <w:b/>
          <w:sz w:val="28"/>
          <w:szCs w:val="24"/>
          <w:lang w:val="es-ES"/>
        </w:rPr>
        <w:t xml:space="preserve"> relacionados con el Caso VdG,</w:t>
      </w:r>
      <w:r>
        <w:rPr>
          <w:rFonts w:asciiTheme="minorHAnsi" w:hAnsiTheme="minorHAnsi" w:cstheme="minorHAnsi"/>
          <w:sz w:val="28"/>
          <w:szCs w:val="24"/>
          <w:lang w:val="es-ES"/>
        </w:rPr>
        <w:t xml:space="preserve"> al objeto de que puedan ser consultados en cualquier momento por la Autoridad Judicial y/o Fiscalía accediendo al Sistema. Esta cuestión cobra especial relevancia en supuestos de reasignación de Casos por traslado o cambios de residencias de víctimas y por tanto traspaso de competencias policiales en el ámbito de la protección.</w:t>
      </w:r>
    </w:p>
    <w:p w:rsidR="006F3EF8" w:rsidRDefault="006F3EF8" w:rsidP="006F3EF8">
      <w:pPr>
        <w:pStyle w:val="Prrafodelista"/>
        <w:spacing w:before="120" w:after="120"/>
        <w:ind w:left="720" w:right="332"/>
        <w:jc w:val="both"/>
        <w:rPr>
          <w:rFonts w:asciiTheme="minorHAnsi" w:hAnsiTheme="minorHAnsi" w:cstheme="minorHAnsi"/>
          <w:sz w:val="28"/>
          <w:szCs w:val="24"/>
          <w:lang w:val="es-ES"/>
        </w:rPr>
      </w:pPr>
    </w:p>
    <w:p w:rsidR="0037294E" w:rsidRPr="00106F98" w:rsidRDefault="0037294E" w:rsidP="0037294E">
      <w:pPr>
        <w:pStyle w:val="Prrafodelista"/>
        <w:numPr>
          <w:ilvl w:val="0"/>
          <w:numId w:val="1"/>
        </w:numPr>
        <w:spacing w:before="120" w:after="120"/>
        <w:ind w:right="332"/>
        <w:jc w:val="both"/>
        <w:rPr>
          <w:rFonts w:asciiTheme="minorHAnsi" w:hAnsiTheme="minorHAnsi" w:cstheme="minorHAnsi"/>
          <w:sz w:val="28"/>
          <w:szCs w:val="24"/>
          <w:lang w:val="es-ES"/>
        </w:rPr>
      </w:pPr>
      <w:r>
        <w:rPr>
          <w:rFonts w:asciiTheme="minorHAnsi" w:hAnsiTheme="minorHAnsi" w:cstheme="minorHAnsi"/>
          <w:sz w:val="28"/>
          <w:szCs w:val="24"/>
          <w:lang w:val="es-ES"/>
        </w:rPr>
        <w:t xml:space="preserve">FFCCS dirijan todos los documentos relacionados con un Caso VdG, incluyendo Juzgado y Procedimiento (o haciendo constar en su caso que se desconocen estos datos), a </w:t>
      </w:r>
      <w:r w:rsidRPr="00262005">
        <w:rPr>
          <w:rFonts w:asciiTheme="minorHAnsi" w:hAnsiTheme="minorHAnsi" w:cstheme="minorHAnsi"/>
          <w:b/>
          <w:sz w:val="28"/>
          <w:szCs w:val="24"/>
          <w:lang w:val="es-ES"/>
        </w:rPr>
        <w:t>Fiscalía Delegada o Fiscalía de Enlace</w:t>
      </w:r>
      <w:r w:rsidR="00C20878">
        <w:rPr>
          <w:rFonts w:asciiTheme="minorHAnsi" w:hAnsiTheme="minorHAnsi" w:cstheme="minorHAnsi"/>
          <w:sz w:val="28"/>
          <w:szCs w:val="24"/>
          <w:lang w:val="es-ES"/>
        </w:rPr>
        <w:t xml:space="preserve">y </w:t>
      </w:r>
      <w:r w:rsidRPr="00C073DB">
        <w:rPr>
          <w:rFonts w:asciiTheme="minorHAnsi" w:hAnsiTheme="minorHAnsi" w:cstheme="minorHAnsi"/>
          <w:b/>
          <w:sz w:val="28"/>
          <w:szCs w:val="24"/>
          <w:u w:val="single"/>
          <w:lang w:val="es-ES"/>
        </w:rPr>
        <w:t>siempre</w:t>
      </w:r>
      <w:r>
        <w:rPr>
          <w:rFonts w:asciiTheme="minorHAnsi" w:hAnsiTheme="minorHAnsi" w:cstheme="minorHAnsi"/>
          <w:sz w:val="28"/>
          <w:szCs w:val="24"/>
          <w:lang w:val="es-ES"/>
        </w:rPr>
        <w:t xml:space="preserve"> y en todo caso </w:t>
      </w:r>
      <w:r w:rsidRPr="00262005">
        <w:rPr>
          <w:rFonts w:asciiTheme="minorHAnsi" w:hAnsiTheme="minorHAnsi" w:cstheme="minorHAnsi"/>
          <w:b/>
          <w:sz w:val="28"/>
          <w:szCs w:val="24"/>
          <w:lang w:val="es-ES"/>
        </w:rPr>
        <w:t>hagan uso del contacto</w:t>
      </w:r>
      <w:r w:rsidR="006F3EF8">
        <w:rPr>
          <w:rFonts w:asciiTheme="minorHAnsi" w:hAnsiTheme="minorHAnsi" w:cstheme="minorHAnsi"/>
          <w:b/>
          <w:sz w:val="28"/>
          <w:szCs w:val="24"/>
          <w:lang w:val="es-ES"/>
        </w:rPr>
        <w:t xml:space="preserve"> directo presencial o</w:t>
      </w:r>
      <w:r w:rsidRPr="00262005">
        <w:rPr>
          <w:rFonts w:asciiTheme="minorHAnsi" w:hAnsiTheme="minorHAnsi" w:cstheme="minorHAnsi"/>
          <w:b/>
          <w:sz w:val="28"/>
          <w:szCs w:val="24"/>
          <w:lang w:val="es-ES"/>
        </w:rPr>
        <w:t xml:space="preserve"> telefónico con Fiscalía en relación con aquellos Casos concretos que requieran del intercambio de información de interés</w:t>
      </w:r>
      <w:r>
        <w:rPr>
          <w:rFonts w:asciiTheme="minorHAnsi" w:hAnsiTheme="minorHAnsi" w:cstheme="minorHAnsi"/>
          <w:sz w:val="28"/>
          <w:szCs w:val="24"/>
          <w:lang w:val="es-ES"/>
        </w:rPr>
        <w:t>, en pro de una mejor y más efectiva protección de las víctimas.</w:t>
      </w:r>
    </w:p>
    <w:p w:rsidR="001676CC" w:rsidRPr="0037294E" w:rsidRDefault="001676CC">
      <w:pPr>
        <w:rPr>
          <w:lang w:val="es-ES"/>
        </w:rPr>
      </w:pPr>
    </w:p>
    <w:sectPr w:rsidR="001676CC" w:rsidRPr="0037294E" w:rsidSect="00BB7FEC">
      <w:headerReference w:type="default" r:id="rId10"/>
      <w:footerReference w:type="default" r:id="rId11"/>
      <w:headerReference w:type="first" r:id="rId12"/>
      <w:pgSz w:w="11906" w:h="16838"/>
      <w:pgMar w:top="2097" w:right="1701" w:bottom="1276" w:left="1701"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5F1" w:rsidRDefault="009C35F1" w:rsidP="0037294E">
      <w:r>
        <w:separator/>
      </w:r>
    </w:p>
  </w:endnote>
  <w:endnote w:type="continuationSeparator" w:id="1">
    <w:p w:rsidR="009C35F1" w:rsidRDefault="009C35F1" w:rsidP="00372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280203"/>
      <w:docPartObj>
        <w:docPartGallery w:val="Page Numbers (Bottom of Page)"/>
        <w:docPartUnique/>
      </w:docPartObj>
    </w:sdtPr>
    <w:sdtContent>
      <w:p w:rsidR="00224889" w:rsidRDefault="00794E3E">
        <w:pPr>
          <w:pStyle w:val="Piedepgina"/>
          <w:jc w:val="center"/>
        </w:pPr>
        <w:r w:rsidRPr="00794E3E">
          <w:rPr>
            <w:rFonts w:asciiTheme="minorHAnsi" w:eastAsiaTheme="minorHAnsi" w:hAnsiTheme="minorHAnsi" w:cstheme="minorBidi"/>
            <w:noProof/>
            <w:snapToGrid/>
            <w:sz w:val="22"/>
            <w:szCs w:val="22"/>
            <w:lang w:val="es-ES"/>
          </w:rPr>
          <w:pict>
            <v:shapetype id="_x0000_t202" coordsize="21600,21600" o:spt="202" path="m,l,21600r21600,l21600,xe">
              <v:stroke joinstyle="miter"/>
              <v:path gradientshapeok="t" o:connecttype="rect"/>
            </v:shapetype>
            <v:shape id="7 Cuadro de texto" o:spid="_x0000_s4098" type="#_x0000_t202" style="position:absolute;left:0;text-align:left;margin-left:341.7pt;margin-top:-5.85pt;width:108.75pt;height:48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" filled="f" stroked="f" strokeweight=".5pt">
              <v:textbox>
                <w:txbxContent>
                  <w:p w:rsidR="00512A7C" w:rsidRDefault="00512A7C" w:rsidP="00DA62F2">
                    <w:pPr>
                      <w:pStyle w:val="Piedepgina"/>
                      <w:jc w:val="center"/>
                      <w:rPr>
                        <w:sz w:val="16"/>
                        <w:szCs w:val="16"/>
                        <w:lang w:val="es-ES"/>
                      </w:rPr>
                    </w:pPr>
                    <w:r>
                      <w:rPr>
                        <w:sz w:val="16"/>
                        <w:szCs w:val="16"/>
                        <w:lang w:val="es-ES"/>
                      </w:rPr>
                      <w:t>FISCALIA GENERAL DEL ESTADO</w:t>
                    </w:r>
                  </w:p>
                  <w:p w:rsidR="00224889" w:rsidRPr="00224889" w:rsidRDefault="00224889" w:rsidP="00224889">
                    <w:pPr>
                      <w:pStyle w:val="Piedepgina"/>
                      <w:rPr>
                        <w:sz w:val="16"/>
                        <w:szCs w:val="16"/>
                        <w:lang w:val="es-ES"/>
                      </w:rPr>
                    </w:pPr>
                    <w:r w:rsidRPr="00224889">
                      <w:rPr>
                        <w:sz w:val="16"/>
                        <w:szCs w:val="16"/>
                        <w:lang w:val="es-ES"/>
                      </w:rPr>
                      <w:t>Fiscal</w:t>
                    </w:r>
                    <w:r w:rsidR="00337D99">
                      <w:rPr>
                        <w:sz w:val="16"/>
                        <w:szCs w:val="16"/>
                        <w:lang w:val="es-ES"/>
                      </w:rPr>
                      <w:t>ía de</w:t>
                    </w:r>
                    <w:r w:rsidRPr="00224889">
                      <w:rPr>
                        <w:sz w:val="16"/>
                        <w:szCs w:val="16"/>
                        <w:lang w:val="es-ES"/>
                      </w:rPr>
                      <w:t xml:space="preserve"> sala </w:t>
                    </w:r>
                    <w:r w:rsidR="00337D99">
                      <w:rPr>
                        <w:sz w:val="16"/>
                        <w:szCs w:val="16"/>
                        <w:lang w:val="es-ES"/>
                      </w:rPr>
                      <w:t xml:space="preserve">delegada de </w:t>
                    </w:r>
                    <w:r w:rsidRPr="00224889">
                      <w:rPr>
                        <w:sz w:val="16"/>
                        <w:szCs w:val="16"/>
                        <w:lang w:val="es-ES"/>
                      </w:rPr>
                      <w:t>violencia sobre la mujer</w:t>
                    </w:r>
                  </w:p>
                </w:txbxContent>
              </v:textbox>
              <w10:wrap type="square"/>
            </v:shape>
          </w:pict>
        </w:r>
        <w:r w:rsidRPr="00794E3E">
          <w:rPr>
            <w:rFonts w:asciiTheme="minorHAnsi" w:eastAsiaTheme="minorHAnsi" w:hAnsiTheme="minorHAnsi" w:cstheme="minorBidi"/>
            <w:noProof/>
            <w:snapToGrid/>
            <w:sz w:val="22"/>
            <w:szCs w:val="22"/>
            <w:lang w:val="es-ES"/>
          </w:rPr>
          <w:pict>
            <v:shape id="4 Cuadro de texto" o:spid="_x0000_s4097" type="#_x0000_t202" style="position:absolute;left:0;text-align:left;margin-left:-40.8pt;margin-top:-5.1pt;width:119.25pt;height:42.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" filled="f" stroked="f" strokeweight=".5pt">
              <v:textbox>
                <w:txbxContent>
                  <w:p w:rsidR="00224889" w:rsidRPr="00224889" w:rsidRDefault="00224889" w:rsidP="00224889">
                    <w:pPr>
                      <w:pStyle w:val="Piedepgina"/>
                      <w:rPr>
                        <w:sz w:val="16"/>
                        <w:szCs w:val="16"/>
                        <w:u w:val="single"/>
                        <w:lang w:val="es-ES"/>
                      </w:rPr>
                    </w:pPr>
                    <w:r w:rsidRPr="00224889">
                      <w:rPr>
                        <w:sz w:val="16"/>
                        <w:szCs w:val="16"/>
                        <w:u w:val="single"/>
                        <w:lang w:val="es-ES"/>
                      </w:rPr>
                      <w:t>MINISTERIO DEL INTERIOR</w:t>
                    </w:r>
                  </w:p>
                  <w:p w:rsidR="00224889" w:rsidRPr="00224889" w:rsidRDefault="00224889" w:rsidP="00224889">
                    <w:pPr>
                      <w:pStyle w:val="Piedepgina"/>
                      <w:rPr>
                        <w:sz w:val="16"/>
                        <w:szCs w:val="16"/>
                        <w:lang w:val="es-ES"/>
                      </w:rPr>
                    </w:pPr>
                    <w:r w:rsidRPr="00224889">
                      <w:rPr>
                        <w:sz w:val="16"/>
                        <w:szCs w:val="16"/>
                        <w:lang w:val="es-ES"/>
                      </w:rPr>
                      <w:t xml:space="preserve">Secretaria de Estado de  Seguridad </w:t>
                    </w:r>
                  </w:p>
                </w:txbxContent>
              </v:textbox>
              <w10:wrap type="square"/>
            </v:shape>
          </w:pict>
        </w:r>
        <w:r>
          <w:fldChar w:fldCharType="begin"/>
        </w:r>
        <w:r w:rsidR="00224889">
          <w:instrText>PAGE   \* MERGEFORMAT</w:instrText>
        </w:r>
        <w:r>
          <w:fldChar w:fldCharType="separate"/>
        </w:r>
        <w:r w:rsidR="00600888" w:rsidRPr="00600888">
          <w:rPr>
            <w:noProof/>
            <w:lang w:val="es-ES"/>
          </w:rPr>
          <w:t>7</w:t>
        </w:r>
        <w:r>
          <w:fldChar w:fldCharType="end"/>
        </w:r>
      </w:p>
    </w:sdtContent>
  </w:sdt>
  <w:p w:rsidR="0037294E" w:rsidRPr="0037294E" w:rsidRDefault="0037294E" w:rsidP="0037294E">
    <w:pPr>
      <w:pStyle w:val="Piedepgina"/>
      <w:keepNext/>
      <w:spacing w:line="180" w:lineRule="auto"/>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5F1" w:rsidRDefault="009C35F1" w:rsidP="0037294E">
      <w:r>
        <w:separator/>
      </w:r>
    </w:p>
  </w:footnote>
  <w:footnote w:type="continuationSeparator" w:id="1">
    <w:p w:rsidR="009C35F1" w:rsidRDefault="009C35F1" w:rsidP="0037294E">
      <w:r>
        <w:continuationSeparator/>
      </w:r>
    </w:p>
  </w:footnote>
  <w:footnote w:id="2">
    <w:p w:rsidR="00FD1352" w:rsidRPr="00FD1352" w:rsidRDefault="00FD1352" w:rsidP="00FD1352">
      <w:pPr>
        <w:pStyle w:val="Textonotapie"/>
        <w:jc w:val="both"/>
        <w:rPr>
          <w:rFonts w:asciiTheme="minorHAnsi" w:hAnsiTheme="minorHAnsi"/>
          <w:sz w:val="18"/>
          <w:szCs w:val="18"/>
          <w:lang w:val="es-ES"/>
        </w:rPr>
      </w:pPr>
      <w:r>
        <w:rPr>
          <w:rStyle w:val="Refdenotaalpie"/>
        </w:rPr>
        <w:footnoteRef/>
      </w:r>
      <w:r>
        <w:rPr>
          <w:rFonts w:asciiTheme="minorHAnsi" w:hAnsiTheme="minorHAnsi"/>
          <w:sz w:val="18"/>
          <w:szCs w:val="18"/>
          <w:lang w:val="es-ES"/>
        </w:rPr>
        <w:t>Se recuerda que VPER-S no genera Casos con “Diligencia de especial relevancia”. Por lo tanto, en los supuestos en los que el riesgo se eleve por VPER-S, por lógica, sólo procederá la solicitud del Dispositivo cuando, existiendo OP en vigor en el Caso, el riesgo resultante se eleve a ALTO o EXTREMO.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4E" w:rsidRDefault="0037294E" w:rsidP="0037294E">
    <w:pPr>
      <w:pStyle w:val="Encabezado"/>
      <w:tabs>
        <w:tab w:val="clear" w:pos="4252"/>
        <w:tab w:val="clear" w:pos="8504"/>
        <w:tab w:val="left" w:pos="2010"/>
      </w:tabs>
    </w:pPr>
    <w:r>
      <w:rPr>
        <w:noProof/>
        <w:lang w:val="es-ES"/>
      </w:rPr>
      <w:drawing>
        <wp:inline distT="0" distB="0" distL="0" distR="0">
          <wp:extent cx="2647408" cy="49530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09_12_N-logo_GE_mir_SES-GC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5249" cy="496767"/>
                  </a:xfrm>
                  <a:prstGeom prst="rect">
                    <a:avLst/>
                  </a:prstGeom>
                </pic:spPr>
              </pic:pic>
            </a:graphicData>
          </a:graphic>
        </wp:inline>
      </w:drawing>
    </w:r>
    <w:r>
      <w:tab/>
    </w:r>
    <w:r w:rsidR="000B58B9">
      <w:rPr>
        <w:noProof/>
        <w:snapToGrid/>
        <w:lang w:val="es-ES"/>
      </w:rPr>
      <w:drawing>
        <wp:inline distT="0" distB="0" distL="0" distR="0">
          <wp:extent cx="1885950" cy="755955"/>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4976" cy="75556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4E" w:rsidRPr="00BB7FEC" w:rsidRDefault="0037294E" w:rsidP="001434F4">
    <w:pPr>
      <w:pStyle w:val="Encabezado"/>
      <w:ind w:left="-426"/>
      <w:rPr>
        <w:lang w:val="es-ES"/>
      </w:rPr>
    </w:pPr>
    <w:r>
      <w:rPr>
        <w:noProof/>
        <w:lang w:val="es-ES"/>
      </w:rPr>
      <w:drawing>
        <wp:inline distT="0" distB="0" distL="0" distR="0">
          <wp:extent cx="2952878" cy="55245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09_12_N-logo_GE_mir_SES-GC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1495" cy="554062"/>
                  </a:xfrm>
                  <a:prstGeom prst="rect">
                    <a:avLst/>
                  </a:prstGeom>
                </pic:spPr>
              </pic:pic>
            </a:graphicData>
          </a:graphic>
        </wp:inline>
      </w:drawing>
    </w:r>
    <w:r w:rsidR="00BB7FEC">
      <w:tab/>
    </w:r>
    <w:r w:rsidR="00BB7FEC">
      <w:rPr>
        <w:noProof/>
        <w:snapToGrid/>
        <w:lang w:val="es-ES"/>
      </w:rPr>
      <w:drawing>
        <wp:inline distT="0" distB="0" distL="0" distR="0">
          <wp:extent cx="1885950" cy="755955"/>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4976" cy="7555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11FE"/>
    <w:multiLevelType w:val="hybridMultilevel"/>
    <w:tmpl w:val="81CA9004"/>
    <w:lvl w:ilvl="0" w:tplc="4FFCF332">
      <w:start w:val="27"/>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F325BBB"/>
    <w:multiLevelType w:val="hybridMultilevel"/>
    <w:tmpl w:val="9B6AA1B6"/>
    <w:lvl w:ilvl="0" w:tplc="E38E5A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1E68AF"/>
    <w:multiLevelType w:val="hybridMultilevel"/>
    <w:tmpl w:val="A8066CE8"/>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7294E"/>
    <w:rsid w:val="000B58B9"/>
    <w:rsid w:val="00110433"/>
    <w:rsid w:val="00136E0B"/>
    <w:rsid w:val="001434F4"/>
    <w:rsid w:val="00150B8A"/>
    <w:rsid w:val="001676CC"/>
    <w:rsid w:val="001802AA"/>
    <w:rsid w:val="00224889"/>
    <w:rsid w:val="002E61CF"/>
    <w:rsid w:val="00337D99"/>
    <w:rsid w:val="00367032"/>
    <w:rsid w:val="0037294E"/>
    <w:rsid w:val="003D1BE0"/>
    <w:rsid w:val="003E0068"/>
    <w:rsid w:val="00410CBC"/>
    <w:rsid w:val="00512A7C"/>
    <w:rsid w:val="00566C98"/>
    <w:rsid w:val="005B4245"/>
    <w:rsid w:val="005F4A4B"/>
    <w:rsid w:val="00600888"/>
    <w:rsid w:val="00622D57"/>
    <w:rsid w:val="00661D84"/>
    <w:rsid w:val="006B26FA"/>
    <w:rsid w:val="006F3EF8"/>
    <w:rsid w:val="007232EE"/>
    <w:rsid w:val="00735F26"/>
    <w:rsid w:val="00794E3E"/>
    <w:rsid w:val="007D075C"/>
    <w:rsid w:val="00826E99"/>
    <w:rsid w:val="009B3B33"/>
    <w:rsid w:val="009C35F1"/>
    <w:rsid w:val="009C3EA7"/>
    <w:rsid w:val="00A165B6"/>
    <w:rsid w:val="00AB036F"/>
    <w:rsid w:val="00B61290"/>
    <w:rsid w:val="00BB7FEC"/>
    <w:rsid w:val="00C20878"/>
    <w:rsid w:val="00C36673"/>
    <w:rsid w:val="00C55E33"/>
    <w:rsid w:val="00C61AB4"/>
    <w:rsid w:val="00DA62F2"/>
    <w:rsid w:val="00DB71D4"/>
    <w:rsid w:val="00E70C3A"/>
    <w:rsid w:val="00ED7CD1"/>
    <w:rsid w:val="00EF411A"/>
    <w:rsid w:val="00EF7407"/>
    <w:rsid w:val="00F760FC"/>
    <w:rsid w:val="00FC2E21"/>
    <w:rsid w:val="00FD1352"/>
    <w:rsid w:val="00FE2D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4E"/>
    <w:pPr>
      <w:widowControl w:val="0"/>
      <w:spacing w:after="0"/>
    </w:pPr>
    <w:rPr>
      <w:rFonts w:ascii="Times New Roman" w:eastAsia="Times New Roman" w:hAnsi="Times New Roman" w:cs="Times New Roman"/>
      <w:snapToGrid w:val="0"/>
      <w:sz w:val="24"/>
      <w:szCs w:val="20"/>
      <w:lang w:val="en-US" w:eastAsia="es-ES"/>
    </w:rPr>
  </w:style>
  <w:style w:type="paragraph" w:styleId="Ttulo1">
    <w:name w:val="heading 1"/>
    <w:basedOn w:val="Normal"/>
    <w:next w:val="Normal"/>
    <w:link w:val="Ttulo1Car"/>
    <w:autoRedefine/>
    <w:qFormat/>
    <w:rsid w:val="00661D84"/>
    <w:pPr>
      <w:keepNext/>
      <w:keepLines/>
      <w:spacing w:before="480"/>
      <w:outlineLvl w:val="0"/>
    </w:pPr>
    <w:rPr>
      <w:rFonts w:asciiTheme="majorHAnsi" w:eastAsiaTheme="majorEastAsia" w:hAnsiTheme="majorHAnsi" w:cstheme="majorBidi"/>
      <w:b/>
      <w:bCs/>
      <w:caps/>
      <w:color w:val="365F91" w:themeColor="accent1" w:themeShade="BF"/>
      <w:sz w:val="28"/>
      <w:szCs w:val="28"/>
    </w:rPr>
  </w:style>
  <w:style w:type="paragraph" w:styleId="Ttulo2">
    <w:name w:val="heading 2"/>
    <w:basedOn w:val="Normal"/>
    <w:link w:val="Ttulo2Car"/>
    <w:autoRedefine/>
    <w:uiPriority w:val="9"/>
    <w:qFormat/>
    <w:rsid w:val="00150B8A"/>
    <w:pPr>
      <w:spacing w:before="100" w:beforeAutospacing="1" w:after="100" w:afterAutospacing="1"/>
      <w:outlineLvl w:val="1"/>
    </w:pPr>
    <w:rPr>
      <w:b/>
      <w:bCs/>
      <w:sz w:val="28"/>
      <w:szCs w:val="36"/>
    </w:rPr>
  </w:style>
  <w:style w:type="paragraph" w:styleId="Ttulo3">
    <w:name w:val="heading 3"/>
    <w:basedOn w:val="Normal"/>
    <w:next w:val="Normal"/>
    <w:link w:val="Ttulo3Car"/>
    <w:uiPriority w:val="9"/>
    <w:semiHidden/>
    <w:unhideWhenUsed/>
    <w:qFormat/>
    <w:rsid w:val="00F760F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1D84"/>
    <w:rPr>
      <w:rFonts w:asciiTheme="majorHAnsi" w:eastAsiaTheme="majorEastAsia" w:hAnsiTheme="majorHAnsi" w:cstheme="majorBidi"/>
      <w:b/>
      <w:bCs/>
      <w:caps/>
      <w:color w:val="365F91" w:themeColor="accent1" w:themeShade="BF"/>
      <w:sz w:val="28"/>
      <w:szCs w:val="28"/>
    </w:rPr>
  </w:style>
  <w:style w:type="character" w:customStyle="1" w:styleId="Ttulo2Car">
    <w:name w:val="Título 2 Car"/>
    <w:link w:val="Ttulo2"/>
    <w:uiPriority w:val="9"/>
    <w:rsid w:val="00150B8A"/>
    <w:rPr>
      <w:b/>
      <w:bCs/>
      <w:sz w:val="28"/>
      <w:szCs w:val="36"/>
    </w:rPr>
  </w:style>
  <w:style w:type="paragraph" w:styleId="Encabezado">
    <w:name w:val="header"/>
    <w:basedOn w:val="Normal"/>
    <w:link w:val="EncabezadoCar"/>
    <w:uiPriority w:val="99"/>
    <w:unhideWhenUsed/>
    <w:rsid w:val="0037294E"/>
    <w:pPr>
      <w:tabs>
        <w:tab w:val="center" w:pos="4252"/>
        <w:tab w:val="right" w:pos="8504"/>
      </w:tabs>
    </w:pPr>
  </w:style>
  <w:style w:type="character" w:customStyle="1" w:styleId="EncabezadoCar">
    <w:name w:val="Encabezado Car"/>
    <w:basedOn w:val="Fuentedeprrafopredeter"/>
    <w:link w:val="Encabezado"/>
    <w:uiPriority w:val="99"/>
    <w:rsid w:val="0037294E"/>
  </w:style>
  <w:style w:type="paragraph" w:styleId="Piedepgina">
    <w:name w:val="footer"/>
    <w:basedOn w:val="Normal"/>
    <w:link w:val="PiedepginaCar"/>
    <w:uiPriority w:val="99"/>
    <w:unhideWhenUsed/>
    <w:rsid w:val="0037294E"/>
    <w:pPr>
      <w:tabs>
        <w:tab w:val="center" w:pos="4252"/>
        <w:tab w:val="right" w:pos="8504"/>
      </w:tabs>
    </w:pPr>
  </w:style>
  <w:style w:type="character" w:customStyle="1" w:styleId="PiedepginaCar">
    <w:name w:val="Pie de página Car"/>
    <w:basedOn w:val="Fuentedeprrafopredeter"/>
    <w:link w:val="Piedepgina"/>
    <w:uiPriority w:val="99"/>
    <w:rsid w:val="0037294E"/>
  </w:style>
  <w:style w:type="paragraph" w:styleId="Textodeglobo">
    <w:name w:val="Balloon Text"/>
    <w:basedOn w:val="Normal"/>
    <w:link w:val="TextodegloboCar"/>
    <w:uiPriority w:val="99"/>
    <w:semiHidden/>
    <w:unhideWhenUsed/>
    <w:rsid w:val="00372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94E"/>
    <w:rPr>
      <w:rFonts w:ascii="Tahoma" w:hAnsi="Tahoma" w:cs="Tahoma"/>
      <w:sz w:val="16"/>
      <w:szCs w:val="16"/>
    </w:rPr>
  </w:style>
  <w:style w:type="paragraph" w:styleId="Prrafodelista">
    <w:name w:val="List Paragraph"/>
    <w:basedOn w:val="Normal"/>
    <w:uiPriority w:val="34"/>
    <w:qFormat/>
    <w:rsid w:val="0037294E"/>
    <w:pPr>
      <w:ind w:left="708"/>
    </w:pPr>
  </w:style>
  <w:style w:type="character" w:customStyle="1" w:styleId="Ttulo3Car">
    <w:name w:val="Título 3 Car"/>
    <w:basedOn w:val="Fuentedeprrafopredeter"/>
    <w:link w:val="Ttulo3"/>
    <w:uiPriority w:val="9"/>
    <w:semiHidden/>
    <w:rsid w:val="00F760FC"/>
    <w:rPr>
      <w:rFonts w:asciiTheme="majorHAnsi" w:eastAsiaTheme="majorEastAsia" w:hAnsiTheme="majorHAnsi" w:cstheme="majorBidi"/>
      <w:b/>
      <w:bCs/>
      <w:snapToGrid w:val="0"/>
      <w:color w:val="4F81BD" w:themeColor="accent1"/>
      <w:sz w:val="24"/>
      <w:szCs w:val="20"/>
      <w:lang w:val="en-US" w:eastAsia="es-ES"/>
    </w:rPr>
  </w:style>
  <w:style w:type="paragraph" w:styleId="Textonotapie">
    <w:name w:val="footnote text"/>
    <w:basedOn w:val="Normal"/>
    <w:link w:val="TextonotapieCar"/>
    <w:uiPriority w:val="99"/>
    <w:semiHidden/>
    <w:unhideWhenUsed/>
    <w:rsid w:val="00FD1352"/>
    <w:rPr>
      <w:sz w:val="20"/>
    </w:rPr>
  </w:style>
  <w:style w:type="character" w:customStyle="1" w:styleId="TextonotapieCar">
    <w:name w:val="Texto nota pie Car"/>
    <w:basedOn w:val="Fuentedeprrafopredeter"/>
    <w:link w:val="Textonotapie"/>
    <w:uiPriority w:val="99"/>
    <w:semiHidden/>
    <w:rsid w:val="00FD1352"/>
    <w:rPr>
      <w:rFonts w:ascii="Times New Roman" w:eastAsia="Times New Roman" w:hAnsi="Times New Roman" w:cs="Times New Roman"/>
      <w:snapToGrid w:val="0"/>
      <w:sz w:val="20"/>
      <w:szCs w:val="20"/>
      <w:lang w:val="en-US" w:eastAsia="es-ES"/>
    </w:rPr>
  </w:style>
  <w:style w:type="character" w:styleId="Refdenotaalpie">
    <w:name w:val="footnote reference"/>
    <w:basedOn w:val="Fuentedeprrafopredeter"/>
    <w:uiPriority w:val="99"/>
    <w:semiHidden/>
    <w:unhideWhenUsed/>
    <w:rsid w:val="00FD13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4E"/>
    <w:pPr>
      <w:widowControl w:val="0"/>
      <w:spacing w:after="0"/>
    </w:pPr>
    <w:rPr>
      <w:rFonts w:ascii="Times New Roman" w:eastAsia="Times New Roman" w:hAnsi="Times New Roman" w:cs="Times New Roman"/>
      <w:snapToGrid w:val="0"/>
      <w:sz w:val="24"/>
      <w:szCs w:val="20"/>
      <w:lang w:val="en-US" w:eastAsia="es-ES"/>
    </w:rPr>
  </w:style>
  <w:style w:type="paragraph" w:styleId="Ttulo1">
    <w:name w:val="heading 1"/>
    <w:basedOn w:val="Normal"/>
    <w:next w:val="Normal"/>
    <w:link w:val="Ttulo1Car"/>
    <w:autoRedefine/>
    <w:qFormat/>
    <w:rsid w:val="00661D84"/>
    <w:pPr>
      <w:keepNext/>
      <w:keepLines/>
      <w:spacing w:before="480"/>
      <w:outlineLvl w:val="0"/>
    </w:pPr>
    <w:rPr>
      <w:rFonts w:asciiTheme="majorHAnsi" w:eastAsiaTheme="majorEastAsia" w:hAnsiTheme="majorHAnsi" w:cstheme="majorBidi"/>
      <w:b/>
      <w:bCs/>
      <w:caps/>
      <w:color w:val="365F91" w:themeColor="accent1" w:themeShade="BF"/>
      <w:sz w:val="28"/>
      <w:szCs w:val="28"/>
    </w:rPr>
  </w:style>
  <w:style w:type="paragraph" w:styleId="Ttulo2">
    <w:name w:val="heading 2"/>
    <w:basedOn w:val="Normal"/>
    <w:link w:val="Ttulo2Car"/>
    <w:autoRedefine/>
    <w:uiPriority w:val="9"/>
    <w:qFormat/>
    <w:rsid w:val="00150B8A"/>
    <w:pPr>
      <w:spacing w:before="100" w:beforeAutospacing="1" w:after="100" w:afterAutospacing="1"/>
      <w:outlineLvl w:val="1"/>
    </w:pPr>
    <w:rPr>
      <w:b/>
      <w:bCs/>
      <w:sz w:val="28"/>
      <w:szCs w:val="36"/>
    </w:rPr>
  </w:style>
  <w:style w:type="paragraph" w:styleId="Ttulo3">
    <w:name w:val="heading 3"/>
    <w:basedOn w:val="Normal"/>
    <w:next w:val="Normal"/>
    <w:link w:val="Ttulo3Car"/>
    <w:uiPriority w:val="9"/>
    <w:semiHidden/>
    <w:unhideWhenUsed/>
    <w:qFormat/>
    <w:rsid w:val="00F760F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1D84"/>
    <w:rPr>
      <w:rFonts w:asciiTheme="majorHAnsi" w:eastAsiaTheme="majorEastAsia" w:hAnsiTheme="majorHAnsi" w:cstheme="majorBidi"/>
      <w:b/>
      <w:bCs/>
      <w:caps/>
      <w:color w:val="365F91" w:themeColor="accent1" w:themeShade="BF"/>
      <w:sz w:val="28"/>
      <w:szCs w:val="28"/>
    </w:rPr>
  </w:style>
  <w:style w:type="character" w:customStyle="1" w:styleId="Ttulo2Car">
    <w:name w:val="Título 2 Car"/>
    <w:link w:val="Ttulo2"/>
    <w:uiPriority w:val="9"/>
    <w:rsid w:val="00150B8A"/>
    <w:rPr>
      <w:b/>
      <w:bCs/>
      <w:sz w:val="28"/>
      <w:szCs w:val="36"/>
    </w:rPr>
  </w:style>
  <w:style w:type="paragraph" w:styleId="Encabezado">
    <w:name w:val="header"/>
    <w:basedOn w:val="Normal"/>
    <w:link w:val="EncabezadoCar"/>
    <w:uiPriority w:val="99"/>
    <w:unhideWhenUsed/>
    <w:rsid w:val="0037294E"/>
    <w:pPr>
      <w:tabs>
        <w:tab w:val="center" w:pos="4252"/>
        <w:tab w:val="right" w:pos="8504"/>
      </w:tabs>
    </w:pPr>
  </w:style>
  <w:style w:type="character" w:customStyle="1" w:styleId="EncabezadoCar">
    <w:name w:val="Encabezado Car"/>
    <w:basedOn w:val="Fuentedeprrafopredeter"/>
    <w:link w:val="Encabezado"/>
    <w:uiPriority w:val="99"/>
    <w:rsid w:val="0037294E"/>
  </w:style>
  <w:style w:type="paragraph" w:styleId="Piedepgina">
    <w:name w:val="footer"/>
    <w:basedOn w:val="Normal"/>
    <w:link w:val="PiedepginaCar"/>
    <w:uiPriority w:val="99"/>
    <w:unhideWhenUsed/>
    <w:rsid w:val="0037294E"/>
    <w:pPr>
      <w:tabs>
        <w:tab w:val="center" w:pos="4252"/>
        <w:tab w:val="right" w:pos="8504"/>
      </w:tabs>
    </w:pPr>
  </w:style>
  <w:style w:type="character" w:customStyle="1" w:styleId="PiedepginaCar">
    <w:name w:val="Pie de página Car"/>
    <w:basedOn w:val="Fuentedeprrafopredeter"/>
    <w:link w:val="Piedepgina"/>
    <w:uiPriority w:val="99"/>
    <w:rsid w:val="0037294E"/>
  </w:style>
  <w:style w:type="paragraph" w:styleId="Textodeglobo">
    <w:name w:val="Balloon Text"/>
    <w:basedOn w:val="Normal"/>
    <w:link w:val="TextodegloboCar"/>
    <w:uiPriority w:val="99"/>
    <w:semiHidden/>
    <w:unhideWhenUsed/>
    <w:rsid w:val="00372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94E"/>
    <w:rPr>
      <w:rFonts w:ascii="Tahoma" w:hAnsi="Tahoma" w:cs="Tahoma"/>
      <w:sz w:val="16"/>
      <w:szCs w:val="16"/>
    </w:rPr>
  </w:style>
  <w:style w:type="paragraph" w:styleId="Prrafodelista">
    <w:name w:val="List Paragraph"/>
    <w:basedOn w:val="Normal"/>
    <w:uiPriority w:val="34"/>
    <w:qFormat/>
    <w:rsid w:val="0037294E"/>
    <w:pPr>
      <w:ind w:left="708"/>
    </w:pPr>
  </w:style>
  <w:style w:type="character" w:customStyle="1" w:styleId="Ttulo3Car">
    <w:name w:val="Título 3 Car"/>
    <w:basedOn w:val="Fuentedeprrafopredeter"/>
    <w:link w:val="Ttulo3"/>
    <w:uiPriority w:val="9"/>
    <w:semiHidden/>
    <w:rsid w:val="00F760FC"/>
    <w:rPr>
      <w:rFonts w:asciiTheme="majorHAnsi" w:eastAsiaTheme="majorEastAsia" w:hAnsiTheme="majorHAnsi" w:cstheme="majorBidi"/>
      <w:b/>
      <w:bCs/>
      <w:snapToGrid w:val="0"/>
      <w:color w:val="4F81BD" w:themeColor="accent1"/>
      <w:sz w:val="24"/>
      <w:szCs w:val="20"/>
      <w:lang w:val="en-US" w:eastAsia="es-ES"/>
    </w:rPr>
  </w:style>
  <w:style w:type="paragraph" w:styleId="Textonotapie">
    <w:name w:val="footnote text"/>
    <w:basedOn w:val="Normal"/>
    <w:link w:val="TextonotapieCar"/>
    <w:uiPriority w:val="99"/>
    <w:semiHidden/>
    <w:unhideWhenUsed/>
    <w:rsid w:val="00FD1352"/>
    <w:rPr>
      <w:sz w:val="20"/>
    </w:rPr>
  </w:style>
  <w:style w:type="character" w:customStyle="1" w:styleId="TextonotapieCar">
    <w:name w:val="Texto nota pie Car"/>
    <w:basedOn w:val="Fuentedeprrafopredeter"/>
    <w:link w:val="Textonotapie"/>
    <w:uiPriority w:val="99"/>
    <w:semiHidden/>
    <w:rsid w:val="00FD1352"/>
    <w:rPr>
      <w:rFonts w:ascii="Times New Roman" w:eastAsia="Times New Roman" w:hAnsi="Times New Roman" w:cs="Times New Roman"/>
      <w:snapToGrid w:val="0"/>
      <w:sz w:val="20"/>
      <w:szCs w:val="20"/>
      <w:lang w:val="en-US" w:eastAsia="es-ES"/>
    </w:rPr>
  </w:style>
  <w:style w:type="character" w:styleId="Refdenotaalpie">
    <w:name w:val="footnote reference"/>
    <w:basedOn w:val="Fuentedeprrafopredeter"/>
    <w:uiPriority w:val="99"/>
    <w:semiHidden/>
    <w:unhideWhenUsed/>
    <w:rsid w:val="00FD1352"/>
    <w:rPr>
      <w:vertAlign w:val="superscript"/>
    </w:rPr>
  </w:style>
</w:styles>
</file>

<file path=word/webSettings.xml><?xml version="1.0" encoding="utf-8"?>
<w:webSettings xmlns:r="http://schemas.openxmlformats.org/officeDocument/2006/relationships" xmlns:w="http://schemas.openxmlformats.org/wordprocessingml/2006/main">
  <w:divs>
    <w:div w:id="16949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921F-6A6B-4B62-B683-216A3614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Lopez Mendoza</dc:creator>
  <cp:lastModifiedBy>User</cp:lastModifiedBy>
  <cp:revision>2</cp:revision>
  <dcterms:created xsi:type="dcterms:W3CDTF">2021-06-03T17:48:00Z</dcterms:created>
  <dcterms:modified xsi:type="dcterms:W3CDTF">2021-06-03T17:48:00Z</dcterms:modified>
</cp:coreProperties>
</file>